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5E053" w14:textId="6188B138" w:rsidR="00E949D3" w:rsidRPr="00CE167E" w:rsidRDefault="00E949D3" w:rsidP="00525147">
      <w:pPr>
        <w:pStyle w:val="Title"/>
        <w:keepLines/>
        <w:spacing w:line="276" w:lineRule="auto"/>
        <w:jc w:val="both"/>
        <w:rPr>
          <w:rFonts w:ascii="Times New Roman" w:hAnsi="Times New Roman" w:cs="Times New Roman"/>
          <w:b/>
          <w:bCs/>
          <w:sz w:val="24"/>
          <w:szCs w:val="24"/>
        </w:rPr>
      </w:pPr>
      <w:r w:rsidRPr="00CE167E">
        <w:rPr>
          <w:rFonts w:ascii="Times New Roman" w:hAnsi="Times New Roman" w:cs="Times New Roman"/>
          <w:b/>
          <w:bCs/>
          <w:sz w:val="24"/>
          <w:szCs w:val="24"/>
        </w:rPr>
        <w:t>GROSS FIXED CAPITAL FORMATION BY TYPE OF ASSET, PERIOD AND COMPONENTS.</w:t>
      </w:r>
    </w:p>
    <w:p w14:paraId="07DF0256" w14:textId="083BD0CF" w:rsidR="003C7AED" w:rsidRPr="00CE167E" w:rsidRDefault="003C7AED" w:rsidP="00525147">
      <w:pPr>
        <w:pStyle w:val="Title"/>
        <w:keepLines/>
        <w:spacing w:line="276" w:lineRule="auto"/>
        <w:jc w:val="both"/>
        <w:rPr>
          <w:rFonts w:ascii="Times New Roman" w:hAnsi="Times New Roman" w:cs="Times New Roman"/>
          <w:sz w:val="24"/>
          <w:szCs w:val="24"/>
        </w:rPr>
      </w:pPr>
    </w:p>
    <w:p w14:paraId="7D23F75C" w14:textId="35A2DA38" w:rsidR="00E302F5" w:rsidRPr="00CE167E" w:rsidRDefault="003C7AED" w:rsidP="00525147">
      <w:pPr>
        <w:pStyle w:val="Subtitle"/>
        <w:keepLines/>
        <w:spacing w:line="276" w:lineRule="auto"/>
        <w:jc w:val="both"/>
        <w:rPr>
          <w:rFonts w:ascii="Times New Roman" w:hAnsi="Times New Roman" w:cs="Times New Roman"/>
          <w:color w:val="auto"/>
          <w:sz w:val="24"/>
          <w:szCs w:val="24"/>
        </w:rPr>
      </w:pPr>
      <w:r w:rsidRPr="00CE167E">
        <w:rPr>
          <w:rFonts w:ascii="Times New Roman" w:hAnsi="Times New Roman" w:cs="Times New Roman"/>
          <w:color w:val="auto"/>
          <w:sz w:val="24"/>
          <w:szCs w:val="24"/>
        </w:rPr>
        <w:t>Technical Note</w:t>
      </w:r>
    </w:p>
    <w:p w14:paraId="439A737B" w14:textId="174D070F" w:rsidR="00C25527" w:rsidRPr="00CE167E" w:rsidRDefault="00C25527" w:rsidP="00C25527">
      <w:pPr>
        <w:rPr>
          <w:rFonts w:ascii="Times New Roman" w:hAnsi="Times New Roman" w:cs="Times New Roman"/>
          <w:sz w:val="24"/>
          <w:szCs w:val="24"/>
        </w:rPr>
      </w:pPr>
    </w:p>
    <w:p w14:paraId="011487F8" w14:textId="0324BD50" w:rsidR="00C25527" w:rsidRPr="00CE167E" w:rsidRDefault="00C25527" w:rsidP="00C25527">
      <w:pPr>
        <w:rPr>
          <w:rFonts w:ascii="Times New Roman" w:hAnsi="Times New Roman" w:cs="Times New Roman"/>
          <w:sz w:val="24"/>
          <w:szCs w:val="24"/>
        </w:rPr>
      </w:pPr>
      <w:r w:rsidRPr="00CE167E">
        <w:rPr>
          <w:rFonts w:ascii="Times New Roman" w:hAnsi="Times New Roman" w:cs="Times New Roman"/>
          <w:sz w:val="24"/>
          <w:szCs w:val="24"/>
        </w:rPr>
        <w:t xml:space="preserve">The following is </w:t>
      </w:r>
      <w:r w:rsidR="00CE167E" w:rsidRPr="00CE167E">
        <w:rPr>
          <w:rFonts w:ascii="Times New Roman" w:hAnsi="Times New Roman" w:cs="Times New Roman"/>
          <w:sz w:val="24"/>
          <w:szCs w:val="24"/>
        </w:rPr>
        <w:t>prepared</w:t>
      </w:r>
      <w:r w:rsidRPr="00CE167E">
        <w:rPr>
          <w:rFonts w:ascii="Times New Roman" w:hAnsi="Times New Roman" w:cs="Times New Roman"/>
          <w:sz w:val="24"/>
          <w:szCs w:val="24"/>
        </w:rPr>
        <w:t xml:space="preserve"> to serve as statistical metadata necessary for understanding the concepts and the manner in which the accompanying data are compiled.</w:t>
      </w:r>
    </w:p>
    <w:p w14:paraId="735BF180" w14:textId="7BEFA233" w:rsidR="000E7ECF" w:rsidRPr="00CE167E" w:rsidRDefault="000C67F8"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t>Overview</w:t>
      </w:r>
    </w:p>
    <w:p w14:paraId="5A5D6514" w14:textId="0BF9D9F1" w:rsidR="000E7ECF" w:rsidRPr="00CE167E" w:rsidRDefault="00292A19" w:rsidP="00525147">
      <w:pPr>
        <w:keepLine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Gross Capital Formation (GCF) </w:t>
      </w:r>
      <w:r w:rsidR="000E7ECF" w:rsidRPr="00CE167E">
        <w:rPr>
          <w:rFonts w:ascii="Times New Roman" w:hAnsi="Times New Roman" w:cs="Times New Roman"/>
          <w:sz w:val="24"/>
          <w:szCs w:val="24"/>
        </w:rPr>
        <w:t xml:space="preserve">consists of expenditures on additions to the fixed assets of the economy plus net changes in the level of </w:t>
      </w:r>
      <w:r w:rsidR="000C67F8" w:rsidRPr="00CE167E">
        <w:rPr>
          <w:rFonts w:ascii="Times New Roman" w:hAnsi="Times New Roman" w:cs="Times New Roman"/>
          <w:sz w:val="24"/>
          <w:szCs w:val="24"/>
        </w:rPr>
        <w:t>inventories. The</w:t>
      </w:r>
      <w:r w:rsidR="000E7ECF" w:rsidRPr="00CE167E">
        <w:rPr>
          <w:rFonts w:ascii="Times New Roman" w:hAnsi="Times New Roman" w:cs="Times New Roman"/>
          <w:sz w:val="24"/>
          <w:szCs w:val="24"/>
        </w:rPr>
        <w:t xml:space="preserve"> data are presented in current prices and domestic currency. The assets covered in this release include fixed tangible assets such as dwellings, other buildings, other structures, land improvements</w:t>
      </w:r>
      <w:r w:rsidR="000C67F8" w:rsidRPr="00CE167E">
        <w:rPr>
          <w:rFonts w:ascii="Times New Roman" w:hAnsi="Times New Roman" w:cs="Times New Roman"/>
          <w:sz w:val="24"/>
          <w:szCs w:val="24"/>
        </w:rPr>
        <w:t xml:space="preserve">, </w:t>
      </w:r>
      <w:r w:rsidR="000E7ECF" w:rsidRPr="00CE167E">
        <w:rPr>
          <w:rFonts w:ascii="Times New Roman" w:hAnsi="Times New Roman" w:cs="Times New Roman"/>
          <w:sz w:val="24"/>
          <w:szCs w:val="24"/>
        </w:rPr>
        <w:t>machinery and equipment</w:t>
      </w:r>
      <w:r w:rsidR="000C67F8" w:rsidRPr="00CE167E">
        <w:rPr>
          <w:rFonts w:ascii="Times New Roman" w:hAnsi="Times New Roman" w:cs="Times New Roman"/>
          <w:sz w:val="24"/>
          <w:szCs w:val="24"/>
        </w:rPr>
        <w:t xml:space="preserve"> and </w:t>
      </w:r>
      <w:r w:rsidR="000E7ECF" w:rsidRPr="00CE167E">
        <w:rPr>
          <w:rFonts w:ascii="Times New Roman" w:hAnsi="Times New Roman" w:cs="Times New Roman"/>
          <w:sz w:val="24"/>
          <w:szCs w:val="24"/>
        </w:rPr>
        <w:t>weapons systems</w:t>
      </w:r>
      <w:r w:rsidR="000C67F8" w:rsidRPr="00CE167E">
        <w:rPr>
          <w:rFonts w:ascii="Times New Roman" w:hAnsi="Times New Roman" w:cs="Times New Roman"/>
          <w:sz w:val="24"/>
          <w:szCs w:val="24"/>
        </w:rPr>
        <w:t xml:space="preserve"> as well as some estimation of intangible fixed assets such as</w:t>
      </w:r>
      <w:r w:rsidR="000E7ECF" w:rsidRPr="00CE167E">
        <w:rPr>
          <w:rFonts w:ascii="Times New Roman" w:hAnsi="Times New Roman" w:cs="Times New Roman"/>
          <w:sz w:val="24"/>
          <w:szCs w:val="24"/>
        </w:rPr>
        <w:t xml:space="preserve"> transfer costs of ownership of non-produced assets</w:t>
      </w:r>
      <w:r w:rsidR="000C67F8" w:rsidRPr="00CE167E">
        <w:rPr>
          <w:rFonts w:ascii="Times New Roman" w:hAnsi="Times New Roman" w:cs="Times New Roman"/>
          <w:sz w:val="24"/>
          <w:szCs w:val="24"/>
        </w:rPr>
        <w:t xml:space="preserve"> and a measure of drilling investments. These estimates are useful to business and research communities, academia, the media and the general public as well as international organisations in determining aggregate capital investment flows by type of assets. </w:t>
      </w:r>
    </w:p>
    <w:p w14:paraId="22EFB008" w14:textId="77777777" w:rsidR="000C67F8" w:rsidRPr="00CE167E" w:rsidRDefault="000C67F8" w:rsidP="00525147">
      <w:pPr>
        <w:keepLines/>
        <w:spacing w:line="276" w:lineRule="auto"/>
        <w:jc w:val="both"/>
        <w:rPr>
          <w:rFonts w:ascii="Times New Roman" w:hAnsi="Times New Roman" w:cs="Times New Roman"/>
          <w:sz w:val="24"/>
          <w:szCs w:val="24"/>
        </w:rPr>
      </w:pPr>
    </w:p>
    <w:p w14:paraId="0FA95BEC" w14:textId="27729CD2" w:rsidR="000E7ECF" w:rsidRPr="00CE167E" w:rsidRDefault="000C67F8"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t>Previous undertakings for estimates up to 2005</w:t>
      </w:r>
    </w:p>
    <w:p w14:paraId="277DFD7E" w14:textId="7A980FD8" w:rsidR="000C67F8" w:rsidRPr="00CE167E" w:rsidRDefault="000C67F8"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The </w:t>
      </w:r>
      <w:r w:rsidR="004E3BD7" w:rsidRPr="00CE167E">
        <w:rPr>
          <w:rFonts w:ascii="Times New Roman" w:hAnsi="Times New Roman" w:cs="Times New Roman"/>
          <w:sz w:val="24"/>
          <w:szCs w:val="24"/>
        </w:rPr>
        <w:t xml:space="preserve">major source of data used in the compilation of the gross capital formation </w:t>
      </w:r>
      <w:r w:rsidRPr="00CE167E">
        <w:rPr>
          <w:rFonts w:ascii="Times New Roman" w:hAnsi="Times New Roman" w:cs="Times New Roman"/>
          <w:sz w:val="24"/>
          <w:szCs w:val="24"/>
        </w:rPr>
        <w:t>was</w:t>
      </w:r>
      <w:r w:rsidR="004E3BD7" w:rsidRPr="00CE167E">
        <w:rPr>
          <w:rFonts w:ascii="Times New Roman" w:hAnsi="Times New Roman" w:cs="Times New Roman"/>
          <w:sz w:val="24"/>
          <w:szCs w:val="24"/>
        </w:rPr>
        <w:t xml:space="preserve"> the Annual Sample Survey of Establishments. Data were extracted from responding establishments from the capital expenditure and the stocks sections and aggregated to arrive at industry totals. Since a census </w:t>
      </w:r>
      <w:r w:rsidR="00DF1DCF">
        <w:rPr>
          <w:rFonts w:ascii="Times New Roman" w:hAnsi="Times New Roman" w:cs="Times New Roman"/>
          <w:sz w:val="24"/>
          <w:szCs w:val="24"/>
        </w:rPr>
        <w:t>was</w:t>
      </w:r>
      <w:r w:rsidR="004E3BD7" w:rsidRPr="00CE167E">
        <w:rPr>
          <w:rFonts w:ascii="Times New Roman" w:hAnsi="Times New Roman" w:cs="Times New Roman"/>
          <w:sz w:val="24"/>
          <w:szCs w:val="24"/>
        </w:rPr>
        <w:t xml:space="preserve"> done in the petroleum industry, response data equal capital formation for that industry. </w:t>
      </w:r>
    </w:p>
    <w:p w14:paraId="49AD0DE4" w14:textId="6E7F7584" w:rsidR="0032169B" w:rsidRPr="00CE167E" w:rsidRDefault="004E3BD7"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In almost all the other industries, response data were used as population estimates. However, before arriving at this decision the following ratio was examined at the subindustry level: Gross output (Response panel of establishments) Gross output (Population)</w:t>
      </w:r>
      <w:r w:rsidR="00DF1DCF">
        <w:rPr>
          <w:rFonts w:ascii="Times New Roman" w:hAnsi="Times New Roman" w:cs="Times New Roman"/>
          <w:sz w:val="24"/>
          <w:szCs w:val="24"/>
        </w:rPr>
        <w:t xml:space="preserve">. </w:t>
      </w:r>
      <w:r w:rsidRPr="00CE167E">
        <w:rPr>
          <w:rFonts w:ascii="Times New Roman" w:hAnsi="Times New Roman" w:cs="Times New Roman"/>
          <w:sz w:val="24"/>
          <w:szCs w:val="24"/>
        </w:rPr>
        <w:t xml:space="preserve"> </w:t>
      </w:r>
      <w:r w:rsidR="00DF1DCF">
        <w:rPr>
          <w:rFonts w:ascii="Times New Roman" w:hAnsi="Times New Roman" w:cs="Times New Roman"/>
          <w:sz w:val="24"/>
          <w:szCs w:val="24"/>
        </w:rPr>
        <w:t>W</w:t>
      </w:r>
      <w:r w:rsidR="00DF1DCF" w:rsidRPr="00CE167E">
        <w:rPr>
          <w:rFonts w:ascii="Times New Roman" w:hAnsi="Times New Roman" w:cs="Times New Roman"/>
          <w:sz w:val="24"/>
          <w:szCs w:val="24"/>
        </w:rPr>
        <w:t>here</w:t>
      </w:r>
      <w:r w:rsidRPr="00CE167E">
        <w:rPr>
          <w:rFonts w:ascii="Times New Roman" w:hAnsi="Times New Roman" w:cs="Times New Roman"/>
          <w:sz w:val="24"/>
          <w:szCs w:val="24"/>
        </w:rPr>
        <w:t xml:space="preserve"> this ratio was close to 1, the response data were accepted as the population estimates for capital formation. Where it was significantly lower, the inverse of this ratio was used to `blow up' the data on capital formation from responding firms to arrive at population totals for each subindustry. </w:t>
      </w:r>
    </w:p>
    <w:p w14:paraId="2FC914A4" w14:textId="44723EF9" w:rsidR="004E3BD7" w:rsidRPr="00CE167E" w:rsidRDefault="004E3BD7"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This method with minor modifications to suit the needs of unique industries, was used to estimate capital formation. Totals were then disaggregated into various components through the use of ratios derived from the response data. The following industries were the exception to this general rule: (</w:t>
      </w:r>
      <w:proofErr w:type="spellStart"/>
      <w:r w:rsidRPr="00CE167E">
        <w:rPr>
          <w:rFonts w:ascii="Times New Roman" w:hAnsi="Times New Roman" w:cs="Times New Roman"/>
          <w:sz w:val="24"/>
          <w:szCs w:val="24"/>
        </w:rPr>
        <w:t>i</w:t>
      </w:r>
      <w:proofErr w:type="spellEnd"/>
      <w:r w:rsidRPr="00CE167E">
        <w:rPr>
          <w:rFonts w:ascii="Times New Roman" w:hAnsi="Times New Roman" w:cs="Times New Roman"/>
          <w:sz w:val="24"/>
          <w:szCs w:val="24"/>
        </w:rPr>
        <w:t>) Agriculture (ii) Taxi service, car rentals and trucking (iii) Central Bank and Commercial Banks (iv)</w:t>
      </w:r>
      <w:r w:rsidR="00DF1DCF">
        <w:rPr>
          <w:rFonts w:ascii="Times New Roman" w:hAnsi="Times New Roman" w:cs="Times New Roman"/>
          <w:sz w:val="24"/>
          <w:szCs w:val="24"/>
        </w:rPr>
        <w:t xml:space="preserve"> </w:t>
      </w:r>
      <w:r w:rsidRPr="00CE167E">
        <w:rPr>
          <w:rFonts w:ascii="Times New Roman" w:hAnsi="Times New Roman" w:cs="Times New Roman"/>
          <w:sz w:val="24"/>
          <w:szCs w:val="24"/>
        </w:rPr>
        <w:t>Finance and acceptance houses (v) Insurance (vi) Rea</w:t>
      </w:r>
      <w:r w:rsidR="00DF1DCF">
        <w:rPr>
          <w:rFonts w:ascii="Times New Roman" w:hAnsi="Times New Roman" w:cs="Times New Roman"/>
          <w:sz w:val="24"/>
          <w:szCs w:val="24"/>
        </w:rPr>
        <w:t xml:space="preserve">l estate and dwelling services </w:t>
      </w:r>
      <w:r w:rsidRPr="00CE167E">
        <w:rPr>
          <w:rFonts w:ascii="Times New Roman" w:hAnsi="Times New Roman" w:cs="Times New Roman"/>
          <w:sz w:val="24"/>
          <w:szCs w:val="24"/>
        </w:rPr>
        <w:t>(vii) General Government.</w:t>
      </w:r>
    </w:p>
    <w:p w14:paraId="459B6BA9" w14:textId="6E31A56F" w:rsidR="0032169B" w:rsidRPr="00CE167E" w:rsidRDefault="0032169B"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lastRenderedPageBreak/>
        <w:t xml:space="preserve">Estimates of Gross Capital </w:t>
      </w:r>
      <w:r w:rsidR="000E181B" w:rsidRPr="00CE167E">
        <w:rPr>
          <w:rFonts w:ascii="Times New Roman" w:hAnsi="Times New Roman" w:cs="Times New Roman"/>
          <w:sz w:val="24"/>
          <w:szCs w:val="24"/>
        </w:rPr>
        <w:t>Formation for 2006 to 2021.</w:t>
      </w:r>
    </w:p>
    <w:p w14:paraId="5F122FA9" w14:textId="4EE22A18" w:rsidR="0032169B" w:rsidRPr="00CE167E" w:rsidRDefault="000E181B" w:rsidP="00525147">
      <w:pPr>
        <w:keepLines/>
        <w:spacing w:line="276" w:lineRule="auto"/>
        <w:jc w:val="both"/>
        <w:rPr>
          <w:rFonts w:ascii="Times New Roman" w:hAnsi="Times New Roman" w:cs="Times New Roman"/>
          <w:sz w:val="24"/>
          <w:szCs w:val="24"/>
          <w:shd w:val="clear" w:color="auto" w:fill="FFFFFF"/>
        </w:rPr>
      </w:pPr>
      <w:r w:rsidRPr="00CE167E">
        <w:rPr>
          <w:rFonts w:ascii="Times New Roman" w:hAnsi="Times New Roman" w:cs="Times New Roman"/>
          <w:sz w:val="24"/>
          <w:szCs w:val="24"/>
        </w:rPr>
        <w:t>The data are produced following international guidance, such as the </w:t>
      </w:r>
      <w:hyperlink r:id="rId8" w:history="1">
        <w:r w:rsidRPr="00CE167E">
          <w:rPr>
            <w:rFonts w:ascii="Times New Roman" w:hAnsi="Times New Roman" w:cs="Times New Roman"/>
            <w:sz w:val="24"/>
            <w:szCs w:val="24"/>
          </w:rPr>
          <w:t>UN SNA 2008</w:t>
        </w:r>
      </w:hyperlink>
      <w:r w:rsidRPr="00CE167E">
        <w:rPr>
          <w:rFonts w:ascii="Times New Roman" w:hAnsi="Times New Roman" w:cs="Times New Roman"/>
          <w:sz w:val="24"/>
          <w:szCs w:val="24"/>
        </w:rPr>
        <w:t>, making them as far as possible coherent with capital components in national accounts</w:t>
      </w:r>
      <w:r w:rsidR="00C842F3" w:rsidRPr="00CE167E">
        <w:rPr>
          <w:rFonts w:ascii="Times New Roman" w:hAnsi="Times New Roman" w:cs="Times New Roman"/>
          <w:sz w:val="24"/>
          <w:szCs w:val="24"/>
        </w:rPr>
        <w:t xml:space="preserve"> </w:t>
      </w:r>
      <w:r w:rsidR="00C842F3" w:rsidRPr="00CE167E">
        <w:rPr>
          <w:rFonts w:ascii="Times New Roman" w:hAnsi="Times New Roman" w:cs="Times New Roman"/>
          <w:sz w:val="24"/>
          <w:szCs w:val="24"/>
          <w:shd w:val="clear" w:color="auto" w:fill="FFFFFF"/>
        </w:rPr>
        <w:t xml:space="preserve">and are therefore internationally comparable. </w:t>
      </w:r>
    </w:p>
    <w:p w14:paraId="5575BEE6" w14:textId="212951C7" w:rsidR="00FF4B05" w:rsidRPr="00CE167E" w:rsidRDefault="00FF4B05" w:rsidP="00525147">
      <w:pPr>
        <w:keepLines/>
        <w:spacing w:line="276" w:lineRule="auto"/>
        <w:jc w:val="both"/>
        <w:rPr>
          <w:rFonts w:ascii="Times New Roman" w:hAnsi="Times New Roman" w:cs="Times New Roman"/>
          <w:sz w:val="24"/>
          <w:szCs w:val="24"/>
          <w:shd w:val="clear" w:color="auto" w:fill="FFFFFF"/>
        </w:rPr>
      </w:pPr>
    </w:p>
    <w:p w14:paraId="579D0E89" w14:textId="77777777" w:rsidR="00FF4B05" w:rsidRPr="00CE167E" w:rsidRDefault="00FF4B05"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t>Aggregation Method:</w:t>
      </w:r>
    </w:p>
    <w:p w14:paraId="4932F910" w14:textId="4062A672" w:rsidR="00FF4B05" w:rsidRDefault="00FF4B05" w:rsidP="00525147">
      <w:pPr>
        <w:keepLines/>
        <w:spacing w:line="276" w:lineRule="auto"/>
        <w:jc w:val="both"/>
        <w:rPr>
          <w:rFonts w:ascii="Times New Roman" w:hAnsi="Times New Roman" w:cs="Times New Roman"/>
          <w:sz w:val="24"/>
          <w:szCs w:val="24"/>
          <w:shd w:val="clear" w:color="auto" w:fill="FFFFFF"/>
        </w:rPr>
      </w:pPr>
      <w:r w:rsidRPr="00CE167E">
        <w:rPr>
          <w:rFonts w:ascii="Times New Roman" w:hAnsi="Times New Roman" w:cs="Times New Roman"/>
          <w:sz w:val="24"/>
          <w:szCs w:val="24"/>
          <w:shd w:val="clear" w:color="auto" w:fill="FFFFFF"/>
        </w:rPr>
        <w:t xml:space="preserve"> Gap-filled total</w:t>
      </w:r>
    </w:p>
    <w:p w14:paraId="3519D1A6" w14:textId="77777777" w:rsidR="00CE167E" w:rsidRPr="00CE167E" w:rsidRDefault="00CE167E" w:rsidP="00525147">
      <w:pPr>
        <w:keepLines/>
        <w:spacing w:line="276" w:lineRule="auto"/>
        <w:jc w:val="both"/>
        <w:rPr>
          <w:rFonts w:ascii="Times New Roman" w:hAnsi="Times New Roman" w:cs="Times New Roman"/>
          <w:sz w:val="24"/>
          <w:szCs w:val="24"/>
          <w:shd w:val="clear" w:color="auto" w:fill="FFFFFF"/>
        </w:rPr>
      </w:pPr>
    </w:p>
    <w:p w14:paraId="23982A13" w14:textId="296CFAE2" w:rsidR="00C77114" w:rsidRPr="00CE167E" w:rsidRDefault="00C77114"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t>Valuation</w:t>
      </w:r>
    </w:p>
    <w:p w14:paraId="328F8D92" w14:textId="548553FC" w:rsidR="00C77114" w:rsidRDefault="00DF1DCF" w:rsidP="00525147">
      <w:pPr>
        <w:keepLines/>
        <w:spacing w:line="276" w:lineRule="auto"/>
        <w:jc w:val="both"/>
        <w:rPr>
          <w:rFonts w:ascii="Times New Roman" w:hAnsi="Times New Roman" w:cs="Times New Roman"/>
          <w:sz w:val="24"/>
          <w:szCs w:val="24"/>
          <w:shd w:val="clear" w:color="auto" w:fill="FFFFFF"/>
        </w:rPr>
      </w:pPr>
      <w:r w:rsidRPr="00CE167E">
        <w:rPr>
          <w:rFonts w:ascii="Times New Roman" w:hAnsi="Times New Roman" w:cs="Times New Roman"/>
          <w:sz w:val="24"/>
          <w:szCs w:val="24"/>
          <w:shd w:val="clear" w:color="auto" w:fill="FFFFFF"/>
        </w:rPr>
        <w:t>Current</w:t>
      </w:r>
      <w:r w:rsidR="00C77114" w:rsidRPr="00CE167E">
        <w:rPr>
          <w:rFonts w:ascii="Times New Roman" w:hAnsi="Times New Roman" w:cs="Times New Roman"/>
          <w:sz w:val="24"/>
          <w:szCs w:val="24"/>
          <w:shd w:val="clear" w:color="auto" w:fill="FFFFFF"/>
        </w:rPr>
        <w:t xml:space="preserve"> prices, not seasonally adjusted</w:t>
      </w:r>
    </w:p>
    <w:p w14:paraId="3A8C959C" w14:textId="77777777" w:rsidR="00CE167E" w:rsidRPr="00CE167E" w:rsidRDefault="00CE167E" w:rsidP="00525147">
      <w:pPr>
        <w:keepLines/>
        <w:spacing w:line="276" w:lineRule="auto"/>
        <w:jc w:val="both"/>
        <w:rPr>
          <w:rFonts w:ascii="Times New Roman" w:hAnsi="Times New Roman" w:cs="Times New Roman"/>
          <w:sz w:val="24"/>
          <w:szCs w:val="24"/>
          <w:shd w:val="clear" w:color="auto" w:fill="FFFFFF"/>
        </w:rPr>
      </w:pPr>
    </w:p>
    <w:p w14:paraId="1DA34711" w14:textId="14DF9EC3" w:rsidR="00FF4B05" w:rsidRPr="00CE167E" w:rsidRDefault="00AA5491"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t>Source of Data</w:t>
      </w:r>
    </w:p>
    <w:p w14:paraId="61DA4AE5" w14:textId="69DE5A6B" w:rsidR="00AA5491" w:rsidRPr="00DF1DCF" w:rsidRDefault="00D06A45" w:rsidP="00525147">
      <w:pPr>
        <w:keepLines/>
        <w:spacing w:line="276" w:lineRule="auto"/>
        <w:jc w:val="both"/>
        <w:rPr>
          <w:rFonts w:ascii="Times New Roman" w:hAnsi="Times New Roman" w:cs="Times New Roman"/>
          <w:sz w:val="24"/>
          <w:szCs w:val="24"/>
        </w:rPr>
      </w:pPr>
      <w:r w:rsidRPr="00DF1DCF">
        <w:rPr>
          <w:rFonts w:ascii="Times New Roman" w:hAnsi="Times New Roman" w:cs="Times New Roman"/>
          <w:sz w:val="24"/>
          <w:szCs w:val="24"/>
        </w:rPr>
        <w:t>Data on Imports and Exports of Capital Goods</w:t>
      </w:r>
      <w:r w:rsidR="00525147" w:rsidRPr="00DF1DCF">
        <w:rPr>
          <w:rFonts w:ascii="Times New Roman" w:hAnsi="Times New Roman" w:cs="Times New Roman"/>
          <w:sz w:val="24"/>
          <w:szCs w:val="24"/>
        </w:rPr>
        <w:t>, CSO Merchandise Trade Statistics</w:t>
      </w:r>
    </w:p>
    <w:p w14:paraId="66DE605A" w14:textId="2312E509" w:rsidR="00AA5491" w:rsidRPr="00DF1DCF" w:rsidRDefault="00AA5491" w:rsidP="00525147">
      <w:pPr>
        <w:keepLines/>
        <w:spacing w:line="276" w:lineRule="auto"/>
        <w:jc w:val="both"/>
        <w:rPr>
          <w:rFonts w:ascii="Times New Roman" w:hAnsi="Times New Roman" w:cs="Times New Roman"/>
          <w:sz w:val="24"/>
          <w:szCs w:val="24"/>
        </w:rPr>
      </w:pPr>
      <w:r w:rsidRPr="00DF1DCF">
        <w:rPr>
          <w:rFonts w:ascii="Times New Roman" w:hAnsi="Times New Roman" w:cs="Times New Roman"/>
          <w:sz w:val="24"/>
          <w:szCs w:val="24"/>
        </w:rPr>
        <w:t xml:space="preserve">CSO Annual Estimates of Construction activities </w:t>
      </w:r>
    </w:p>
    <w:p w14:paraId="26E94158" w14:textId="59202A76" w:rsidR="009E1D85" w:rsidRPr="00DF1DCF" w:rsidRDefault="009E1D85" w:rsidP="00525147">
      <w:pPr>
        <w:keepLines/>
        <w:spacing w:line="276" w:lineRule="auto"/>
        <w:jc w:val="both"/>
        <w:rPr>
          <w:rFonts w:ascii="Times New Roman" w:hAnsi="Times New Roman" w:cs="Times New Roman"/>
          <w:sz w:val="24"/>
          <w:szCs w:val="24"/>
        </w:rPr>
      </w:pPr>
      <w:r w:rsidRPr="00DF1DCF">
        <w:rPr>
          <w:rFonts w:ascii="Times New Roman" w:hAnsi="Times New Roman" w:cs="Times New Roman"/>
          <w:sz w:val="24"/>
          <w:szCs w:val="24"/>
        </w:rPr>
        <w:t>Estimates of Revenues of Central Government</w:t>
      </w:r>
    </w:p>
    <w:p w14:paraId="3E546660" w14:textId="77777777" w:rsidR="00CE167E" w:rsidRPr="00CE167E" w:rsidRDefault="00CE167E" w:rsidP="00525147">
      <w:pPr>
        <w:keepLines/>
        <w:spacing w:line="276" w:lineRule="auto"/>
        <w:jc w:val="both"/>
        <w:rPr>
          <w:rFonts w:ascii="Times New Roman" w:hAnsi="Times New Roman" w:cs="Times New Roman"/>
          <w:sz w:val="24"/>
          <w:szCs w:val="24"/>
          <w:shd w:val="clear" w:color="auto" w:fill="FFFFFF"/>
        </w:rPr>
      </w:pPr>
    </w:p>
    <w:p w14:paraId="1B7C11FF" w14:textId="77777777" w:rsidR="00D06A45" w:rsidRPr="00CE167E" w:rsidRDefault="00D06A45"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t>Method of Estimation</w:t>
      </w:r>
    </w:p>
    <w:p w14:paraId="4209CA42" w14:textId="792A37C2" w:rsidR="003528C0" w:rsidRPr="00CE167E" w:rsidRDefault="00D06A45"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Production or commodity flow approach</w:t>
      </w:r>
    </w:p>
    <w:p w14:paraId="63A9F879" w14:textId="2EECA49D" w:rsidR="00D06A45" w:rsidRDefault="00D06A45"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Using this approach the estimates for entire economy is prepared on the basis of commodities flowing into various types of assets of the capital formation namely construction, machinery, software </w:t>
      </w:r>
      <w:r w:rsidR="00DF1DCF" w:rsidRPr="00CE167E">
        <w:rPr>
          <w:rFonts w:ascii="Times New Roman" w:hAnsi="Times New Roman" w:cs="Times New Roman"/>
          <w:sz w:val="24"/>
          <w:szCs w:val="24"/>
        </w:rPr>
        <w:t>etc.</w:t>
      </w:r>
    </w:p>
    <w:p w14:paraId="46E84F82" w14:textId="77777777" w:rsidR="00CE167E" w:rsidRPr="00CE167E" w:rsidRDefault="00CE167E" w:rsidP="00525147">
      <w:pPr>
        <w:keepLines/>
        <w:spacing w:line="276" w:lineRule="auto"/>
        <w:jc w:val="both"/>
        <w:rPr>
          <w:rFonts w:ascii="Times New Roman" w:hAnsi="Times New Roman" w:cs="Times New Roman"/>
          <w:sz w:val="24"/>
          <w:szCs w:val="24"/>
          <w:shd w:val="clear" w:color="auto" w:fill="FFFFFF"/>
        </w:rPr>
      </w:pPr>
    </w:p>
    <w:p w14:paraId="059814DD" w14:textId="66519849" w:rsidR="00525147" w:rsidRPr="00CE167E" w:rsidRDefault="00525147"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t>Estimation of GFCF by Types of Assets</w:t>
      </w:r>
    </w:p>
    <w:p w14:paraId="09C7BD5F" w14:textId="7EFC88C1" w:rsidR="00525147" w:rsidRPr="00CE167E" w:rsidRDefault="00525147" w:rsidP="00525147">
      <w:pPr>
        <w:jc w:val="both"/>
        <w:rPr>
          <w:rFonts w:ascii="Times New Roman" w:hAnsi="Times New Roman" w:cs="Times New Roman"/>
          <w:sz w:val="24"/>
          <w:szCs w:val="24"/>
        </w:rPr>
      </w:pPr>
      <w:r w:rsidRPr="00CE167E">
        <w:rPr>
          <w:rFonts w:ascii="Times New Roman" w:hAnsi="Times New Roman" w:cs="Times New Roman"/>
          <w:sz w:val="24"/>
          <w:szCs w:val="24"/>
        </w:rPr>
        <w:t xml:space="preserve">As per System of National Accounts 2008, </w:t>
      </w:r>
      <w:r w:rsidR="00D067D4">
        <w:rPr>
          <w:rFonts w:ascii="Times New Roman" w:hAnsi="Times New Roman" w:cs="Times New Roman"/>
          <w:sz w:val="24"/>
          <w:szCs w:val="24"/>
        </w:rPr>
        <w:t>Gross Fixed Capital Formation (</w:t>
      </w:r>
      <w:r w:rsidRPr="00CE167E">
        <w:rPr>
          <w:rFonts w:ascii="Times New Roman" w:hAnsi="Times New Roman" w:cs="Times New Roman"/>
          <w:sz w:val="24"/>
          <w:szCs w:val="24"/>
        </w:rPr>
        <w:t>GFCF</w:t>
      </w:r>
      <w:r w:rsidR="00D067D4">
        <w:rPr>
          <w:rFonts w:ascii="Times New Roman" w:hAnsi="Times New Roman" w:cs="Times New Roman"/>
          <w:sz w:val="24"/>
          <w:szCs w:val="24"/>
        </w:rPr>
        <w:t>)</w:t>
      </w:r>
      <w:r w:rsidRPr="00CE167E">
        <w:rPr>
          <w:rFonts w:ascii="Times New Roman" w:hAnsi="Times New Roman" w:cs="Times New Roman"/>
          <w:sz w:val="24"/>
          <w:szCs w:val="24"/>
        </w:rPr>
        <w:t xml:space="preserve"> estimates in the new series (i.e. 2000-2021) are compiled for four broad categories of assets, which are: </w:t>
      </w:r>
    </w:p>
    <w:p w14:paraId="1D3BF7C8" w14:textId="77777777" w:rsidR="00525147" w:rsidRPr="00CE167E" w:rsidRDefault="00525147" w:rsidP="00525147">
      <w:pPr>
        <w:jc w:val="both"/>
        <w:rPr>
          <w:rFonts w:ascii="Times New Roman" w:hAnsi="Times New Roman" w:cs="Times New Roman"/>
          <w:sz w:val="24"/>
          <w:szCs w:val="24"/>
        </w:rPr>
      </w:pPr>
    </w:p>
    <w:p w14:paraId="50EC3C23" w14:textId="11CBE096" w:rsidR="00525147" w:rsidRPr="00CE167E" w:rsidRDefault="00525147" w:rsidP="00525147">
      <w:pPr>
        <w:pStyle w:val="ListParagraph"/>
        <w:numPr>
          <w:ilvl w:val="0"/>
          <w:numId w:val="16"/>
        </w:numPr>
        <w:jc w:val="both"/>
        <w:rPr>
          <w:rFonts w:ascii="Times New Roman" w:hAnsi="Times New Roman" w:cs="Times New Roman"/>
          <w:sz w:val="24"/>
          <w:szCs w:val="24"/>
        </w:rPr>
      </w:pPr>
      <w:r w:rsidRPr="00CE167E">
        <w:rPr>
          <w:rFonts w:ascii="Times New Roman" w:hAnsi="Times New Roman" w:cs="Times New Roman"/>
          <w:sz w:val="24"/>
          <w:szCs w:val="24"/>
        </w:rPr>
        <w:t xml:space="preserve">Dwellings, other buildings &amp; structures </w:t>
      </w:r>
    </w:p>
    <w:p w14:paraId="62A63D2B" w14:textId="7F48B08E" w:rsidR="00525147" w:rsidRPr="00CE167E" w:rsidRDefault="00525147" w:rsidP="00525147">
      <w:pPr>
        <w:pStyle w:val="ListParagraph"/>
        <w:numPr>
          <w:ilvl w:val="0"/>
          <w:numId w:val="16"/>
        </w:numPr>
        <w:jc w:val="both"/>
        <w:rPr>
          <w:rFonts w:ascii="Times New Roman" w:hAnsi="Times New Roman" w:cs="Times New Roman"/>
          <w:sz w:val="24"/>
          <w:szCs w:val="24"/>
        </w:rPr>
      </w:pPr>
      <w:r w:rsidRPr="00CE167E">
        <w:rPr>
          <w:rFonts w:ascii="Times New Roman" w:hAnsi="Times New Roman" w:cs="Times New Roman"/>
          <w:sz w:val="24"/>
          <w:szCs w:val="24"/>
        </w:rPr>
        <w:t xml:space="preserve">Machinery &amp; equipment </w:t>
      </w:r>
    </w:p>
    <w:p w14:paraId="21610263" w14:textId="1F92DA17" w:rsidR="00525147" w:rsidRPr="00CE167E" w:rsidRDefault="00525147" w:rsidP="00525147">
      <w:pPr>
        <w:pStyle w:val="ListParagraph"/>
        <w:numPr>
          <w:ilvl w:val="0"/>
          <w:numId w:val="16"/>
        </w:numPr>
        <w:jc w:val="both"/>
        <w:rPr>
          <w:rFonts w:ascii="Times New Roman" w:hAnsi="Times New Roman" w:cs="Times New Roman"/>
          <w:sz w:val="24"/>
          <w:szCs w:val="24"/>
        </w:rPr>
      </w:pPr>
      <w:r w:rsidRPr="00CE167E">
        <w:rPr>
          <w:rFonts w:ascii="Times New Roman" w:hAnsi="Times New Roman" w:cs="Times New Roman"/>
          <w:sz w:val="24"/>
          <w:szCs w:val="24"/>
        </w:rPr>
        <w:t>Weapon Systems</w:t>
      </w:r>
    </w:p>
    <w:p w14:paraId="3247FE08" w14:textId="77777777" w:rsidR="00525147" w:rsidRPr="00CE167E" w:rsidRDefault="00525147" w:rsidP="00525147">
      <w:pPr>
        <w:pStyle w:val="ListParagraph"/>
        <w:numPr>
          <w:ilvl w:val="0"/>
          <w:numId w:val="16"/>
        </w:numPr>
        <w:jc w:val="both"/>
        <w:rPr>
          <w:rFonts w:ascii="Times New Roman" w:hAnsi="Times New Roman" w:cs="Times New Roman"/>
          <w:sz w:val="24"/>
          <w:szCs w:val="24"/>
        </w:rPr>
      </w:pPr>
      <w:r w:rsidRPr="00CE167E">
        <w:rPr>
          <w:rFonts w:ascii="Times New Roman" w:hAnsi="Times New Roman" w:cs="Times New Roman"/>
          <w:sz w:val="24"/>
          <w:szCs w:val="24"/>
        </w:rPr>
        <w:t>Cultivated Biological Assets</w:t>
      </w:r>
    </w:p>
    <w:p w14:paraId="0EE93FB8" w14:textId="77777777" w:rsidR="00525147" w:rsidRPr="00CE167E" w:rsidRDefault="00525147" w:rsidP="00525147">
      <w:pPr>
        <w:pStyle w:val="ListParagraph"/>
        <w:numPr>
          <w:ilvl w:val="0"/>
          <w:numId w:val="16"/>
        </w:numPr>
        <w:jc w:val="both"/>
        <w:rPr>
          <w:rFonts w:ascii="Times New Roman" w:hAnsi="Times New Roman" w:cs="Times New Roman"/>
          <w:sz w:val="24"/>
          <w:szCs w:val="24"/>
        </w:rPr>
      </w:pPr>
      <w:r w:rsidRPr="00CE167E">
        <w:rPr>
          <w:rFonts w:ascii="Times New Roman" w:hAnsi="Times New Roman" w:cs="Times New Roman"/>
          <w:sz w:val="24"/>
          <w:szCs w:val="24"/>
        </w:rPr>
        <w:t>Cost of Ownership Transfer on Non-produced Assets</w:t>
      </w:r>
    </w:p>
    <w:p w14:paraId="5FC5556F" w14:textId="253E1BE9" w:rsidR="00525147" w:rsidRPr="00CE167E" w:rsidRDefault="00525147" w:rsidP="00525147">
      <w:pPr>
        <w:pStyle w:val="ListParagraph"/>
        <w:numPr>
          <w:ilvl w:val="0"/>
          <w:numId w:val="16"/>
        </w:numPr>
        <w:jc w:val="both"/>
        <w:rPr>
          <w:rFonts w:ascii="Times New Roman" w:hAnsi="Times New Roman" w:cs="Times New Roman"/>
          <w:sz w:val="24"/>
          <w:szCs w:val="24"/>
        </w:rPr>
      </w:pPr>
      <w:r w:rsidRPr="00CE167E">
        <w:rPr>
          <w:rFonts w:ascii="Times New Roman" w:hAnsi="Times New Roman" w:cs="Times New Roman"/>
          <w:sz w:val="24"/>
          <w:szCs w:val="24"/>
        </w:rPr>
        <w:t>Intellectual Property Products</w:t>
      </w:r>
    </w:p>
    <w:p w14:paraId="58B48672" w14:textId="1AD8AE01" w:rsidR="00AA5491" w:rsidRPr="00CE167E" w:rsidRDefault="00AA5491" w:rsidP="00525147">
      <w:pPr>
        <w:pStyle w:val="Heading2"/>
        <w:jc w:val="both"/>
        <w:rPr>
          <w:rFonts w:ascii="Times New Roman" w:hAnsi="Times New Roman" w:cs="Times New Roman"/>
          <w:sz w:val="24"/>
          <w:szCs w:val="24"/>
        </w:rPr>
      </w:pPr>
      <w:r w:rsidRPr="00CE167E">
        <w:rPr>
          <w:rStyle w:val="Strong"/>
          <w:rFonts w:ascii="Times New Roman" w:hAnsi="Times New Roman" w:cs="Times New Roman"/>
          <w:b w:val="0"/>
          <w:bCs w:val="0"/>
          <w:sz w:val="24"/>
          <w:szCs w:val="24"/>
        </w:rPr>
        <w:lastRenderedPageBreak/>
        <w:t>Construction</w:t>
      </w:r>
    </w:p>
    <w:p w14:paraId="195B768B" w14:textId="4ECEB755" w:rsidR="00FC23F9" w:rsidRPr="00CE167E" w:rsidRDefault="00AA5491" w:rsidP="00525147">
      <w:pPr>
        <w:pStyle w:val="rteindent1"/>
        <w:keepLines/>
        <w:shd w:val="clear" w:color="auto" w:fill="FFFFFF"/>
        <w:spacing w:before="0" w:beforeAutospacing="0" w:after="0" w:afterAutospacing="0" w:line="276" w:lineRule="auto"/>
        <w:ind w:left="-90"/>
        <w:jc w:val="both"/>
        <w:textAlignment w:val="baseline"/>
      </w:pPr>
      <w:r w:rsidRPr="00CE167E">
        <w:t>The construction industry covers all building processes of housing and non-housing buildings</w:t>
      </w:r>
      <w:r w:rsidR="00A11EBD" w:rsidRPr="00CE167E">
        <w:t xml:space="preserve"> on own account for sale or on fee or contract basis, </w:t>
      </w:r>
      <w:r w:rsidRPr="00CE167E">
        <w:t xml:space="preserve">as well as </w:t>
      </w:r>
      <w:r w:rsidR="00A11EBD" w:rsidRPr="00CE167E">
        <w:t>civil engineering works for new work</w:t>
      </w:r>
      <w:r w:rsidR="00C853E6" w:rsidRPr="00CE167E">
        <w:t>;</w:t>
      </w:r>
      <w:r w:rsidR="00A11EBD" w:rsidRPr="00CE167E">
        <w:t xml:space="preserve"> repairs</w:t>
      </w:r>
      <w:r w:rsidR="001F53AF">
        <w:t>;</w:t>
      </w:r>
      <w:r w:rsidR="00A11EBD" w:rsidRPr="00CE167E">
        <w:t xml:space="preserve"> additions</w:t>
      </w:r>
      <w:r w:rsidR="00C853E6" w:rsidRPr="00CE167E">
        <w:t>;</w:t>
      </w:r>
      <w:r w:rsidR="00A11EBD" w:rsidRPr="00CE167E">
        <w:t xml:space="preserve"> alterations, erection of temporary structures</w:t>
      </w:r>
      <w:r w:rsidR="00C853E6" w:rsidRPr="00CE167E">
        <w:t>;</w:t>
      </w:r>
      <w:r w:rsidR="00A11EBD" w:rsidRPr="00CE167E">
        <w:t xml:space="preserve"> </w:t>
      </w:r>
      <w:r w:rsidRPr="00CE167E">
        <w:t>road construction and pavement</w:t>
      </w:r>
      <w:r w:rsidR="00C853E6" w:rsidRPr="00CE167E">
        <w:t xml:space="preserve">; </w:t>
      </w:r>
      <w:r w:rsidRPr="00CE167E">
        <w:t>and construction of bridges</w:t>
      </w:r>
      <w:r w:rsidR="00A11EBD" w:rsidRPr="00CE167E">
        <w:t xml:space="preserve"> as well as </w:t>
      </w:r>
      <w:r w:rsidRPr="00CE167E">
        <w:t>water</w:t>
      </w:r>
      <w:r w:rsidR="00A11EBD" w:rsidRPr="00CE167E">
        <w:t xml:space="preserve"> and </w:t>
      </w:r>
      <w:r w:rsidRPr="00CE167E">
        <w:t>sew</w:t>
      </w:r>
      <w:r w:rsidR="00A11EBD" w:rsidRPr="00CE167E">
        <w:t>er</w:t>
      </w:r>
      <w:r w:rsidRPr="00CE167E">
        <w:t>age</w:t>
      </w:r>
      <w:r w:rsidR="00A11EBD" w:rsidRPr="00CE167E">
        <w:t xml:space="preserve"> </w:t>
      </w:r>
      <w:r w:rsidR="00C853E6" w:rsidRPr="00CE167E">
        <w:t>systems; power</w:t>
      </w:r>
      <w:r w:rsidR="00A11EBD" w:rsidRPr="00CE167E">
        <w:t xml:space="preserve"> plants</w:t>
      </w:r>
      <w:r w:rsidR="00C853E6" w:rsidRPr="00CE167E">
        <w:t xml:space="preserve">; </w:t>
      </w:r>
      <w:r w:rsidR="001F53AF">
        <w:t xml:space="preserve">refineries; </w:t>
      </w:r>
      <w:r w:rsidR="00FC23F9" w:rsidRPr="00CE167E">
        <w:t xml:space="preserve">chemical plants </w:t>
      </w:r>
      <w:r w:rsidRPr="00CE167E">
        <w:t xml:space="preserve">and telecommunication utilities. </w:t>
      </w:r>
    </w:p>
    <w:p w14:paraId="62C6473A" w14:textId="77777777" w:rsidR="00C853E6" w:rsidRPr="00CE167E" w:rsidRDefault="00C853E6" w:rsidP="00525147">
      <w:pPr>
        <w:pStyle w:val="rteindent1"/>
        <w:keepLines/>
        <w:shd w:val="clear" w:color="auto" w:fill="FFFFFF"/>
        <w:spacing w:before="0" w:beforeAutospacing="0" w:after="0" w:afterAutospacing="0" w:line="276" w:lineRule="auto"/>
        <w:ind w:left="-90"/>
        <w:jc w:val="both"/>
        <w:textAlignment w:val="baseline"/>
      </w:pPr>
    </w:p>
    <w:p w14:paraId="6F16437B" w14:textId="465CEECD" w:rsidR="00FC23F9" w:rsidRPr="00CE167E" w:rsidRDefault="00AA5491" w:rsidP="00525147">
      <w:pPr>
        <w:pStyle w:val="rteindent1"/>
        <w:keepLines/>
        <w:shd w:val="clear" w:color="auto" w:fill="FFFFFF"/>
        <w:spacing w:before="0" w:beforeAutospacing="0" w:after="0" w:afterAutospacing="0" w:line="276" w:lineRule="auto"/>
        <w:ind w:left="-90"/>
        <w:jc w:val="both"/>
        <w:textAlignment w:val="baseline"/>
      </w:pPr>
      <w:r w:rsidRPr="00CE167E">
        <w:t xml:space="preserve">This </w:t>
      </w:r>
      <w:r w:rsidR="00A11EBD" w:rsidRPr="00CE167E">
        <w:t>industry also</w:t>
      </w:r>
      <w:r w:rsidRPr="00CE167E">
        <w:t xml:space="preserve"> covers</w:t>
      </w:r>
      <w:r w:rsidR="001F53AF">
        <w:t>,</w:t>
      </w:r>
      <w:r w:rsidRPr="00CE167E">
        <w:t xml:space="preserve"> over and above</w:t>
      </w:r>
      <w:r w:rsidR="00C853E6" w:rsidRPr="00CE167E">
        <w:t>;</w:t>
      </w:r>
      <w:r w:rsidRPr="00CE167E">
        <w:t xml:space="preserve"> drilling </w:t>
      </w:r>
      <w:r w:rsidR="00A11EBD" w:rsidRPr="00CE167E">
        <w:t xml:space="preserve">water </w:t>
      </w:r>
      <w:r w:rsidRPr="00CE167E">
        <w:t>wells</w:t>
      </w:r>
      <w:r w:rsidR="00C853E6" w:rsidRPr="00CE167E">
        <w:t>;</w:t>
      </w:r>
      <w:r w:rsidRPr="00CE167E">
        <w:t xml:space="preserve"> reclaiming land</w:t>
      </w:r>
      <w:r w:rsidR="00C853E6" w:rsidRPr="00CE167E">
        <w:t>;</w:t>
      </w:r>
      <w:r w:rsidRPr="00CE167E">
        <w:t xml:space="preserve"> </w:t>
      </w:r>
      <w:r w:rsidR="00A11EBD" w:rsidRPr="00CE167E">
        <w:t xml:space="preserve">irrigation </w:t>
      </w:r>
      <w:r w:rsidR="00FC23F9" w:rsidRPr="00CE167E">
        <w:t>systems</w:t>
      </w:r>
      <w:r w:rsidR="00C853E6" w:rsidRPr="00CE167E">
        <w:t>;</w:t>
      </w:r>
      <w:r w:rsidR="00A11EBD" w:rsidRPr="00CE167E">
        <w:t xml:space="preserve"> </w:t>
      </w:r>
      <w:r w:rsidRPr="00CE167E">
        <w:t xml:space="preserve">installing </w:t>
      </w:r>
      <w:r w:rsidR="00FC23F9" w:rsidRPr="00CE167E">
        <w:t>air-conditioning</w:t>
      </w:r>
      <w:r w:rsidRPr="00CE167E">
        <w:t xml:space="preserve"> devices</w:t>
      </w:r>
      <w:r w:rsidR="00C853E6" w:rsidRPr="00CE167E">
        <w:t>;</w:t>
      </w:r>
      <w:r w:rsidR="00FC23F9" w:rsidRPr="00CE167E">
        <w:t xml:space="preserve"> alarm systems</w:t>
      </w:r>
      <w:r w:rsidR="00C853E6" w:rsidRPr="00CE167E">
        <w:t>;</w:t>
      </w:r>
      <w:r w:rsidR="00FC23F9" w:rsidRPr="00CE167E">
        <w:t xml:space="preserve"> street</w:t>
      </w:r>
      <w:r w:rsidR="00A11EBD" w:rsidRPr="00CE167E">
        <w:t xml:space="preserve"> lighting and traffic lights</w:t>
      </w:r>
      <w:r w:rsidR="00C853E6" w:rsidRPr="00CE167E">
        <w:t>;</w:t>
      </w:r>
      <w:r w:rsidRPr="00CE167E">
        <w:t xml:space="preserve"> connecting buildings to a water supply and sewerage network</w:t>
      </w:r>
      <w:r w:rsidR="00C853E6" w:rsidRPr="00CE167E">
        <w:t>;</w:t>
      </w:r>
      <w:r w:rsidRPr="00CE167E">
        <w:t xml:space="preserve"> as well as </w:t>
      </w:r>
      <w:r w:rsidR="00FC23F9" w:rsidRPr="00CE167E">
        <w:t>specialized activities such as pile driving</w:t>
      </w:r>
      <w:r w:rsidR="00C853E6" w:rsidRPr="00CE167E">
        <w:t>;</w:t>
      </w:r>
      <w:r w:rsidR="00FC23F9" w:rsidRPr="00CE167E">
        <w:t xml:space="preserve"> brick laying</w:t>
      </w:r>
      <w:r w:rsidR="00C853E6" w:rsidRPr="00CE167E">
        <w:t>;</w:t>
      </w:r>
      <w:r w:rsidR="00FC23F9" w:rsidRPr="00CE167E">
        <w:t xml:space="preserve"> roof covering</w:t>
      </w:r>
      <w:r w:rsidR="00C853E6" w:rsidRPr="00CE167E">
        <w:t>;</w:t>
      </w:r>
      <w:r w:rsidR="00FC23F9" w:rsidRPr="00CE167E">
        <w:t xml:space="preserve"> </w:t>
      </w:r>
      <w:r w:rsidRPr="00CE167E">
        <w:t xml:space="preserve">installing sanitary </w:t>
      </w:r>
      <w:r w:rsidR="00C853E6" w:rsidRPr="00CE167E">
        <w:t>ware;</w:t>
      </w:r>
      <w:r w:rsidR="00FC23F9" w:rsidRPr="00CE167E">
        <w:t xml:space="preserve"> </w:t>
      </w:r>
      <w:r w:rsidRPr="00CE167E">
        <w:t>elevators</w:t>
      </w:r>
      <w:r w:rsidR="00FC23F9" w:rsidRPr="00CE167E">
        <w:t xml:space="preserve"> and escalators</w:t>
      </w:r>
      <w:r w:rsidR="00C853E6" w:rsidRPr="00CE167E">
        <w:t>;</w:t>
      </w:r>
      <w:r w:rsidRPr="00CE167E">
        <w:t xml:space="preserve"> aside from demolishing buildings</w:t>
      </w:r>
      <w:r w:rsidR="00FC23F9" w:rsidRPr="00CE167E">
        <w:t xml:space="preserve"> and structures</w:t>
      </w:r>
      <w:r w:rsidR="00C853E6" w:rsidRPr="00CE167E">
        <w:t>;</w:t>
      </w:r>
      <w:r w:rsidR="00FC23F9" w:rsidRPr="00CE167E">
        <w:t xml:space="preserve"> site preparation</w:t>
      </w:r>
      <w:r w:rsidRPr="00CE167E">
        <w:t xml:space="preserve"> etc.</w:t>
      </w:r>
    </w:p>
    <w:p w14:paraId="03DC0D5C" w14:textId="097BD7E6" w:rsidR="00FC23F9" w:rsidRPr="00CE167E" w:rsidRDefault="00AA5491" w:rsidP="00525147">
      <w:pPr>
        <w:pStyle w:val="rteindent1"/>
        <w:keepLines/>
        <w:shd w:val="clear" w:color="auto" w:fill="FFFFFF"/>
        <w:spacing w:before="0" w:beforeAutospacing="0" w:after="0" w:afterAutospacing="0" w:line="276" w:lineRule="auto"/>
        <w:ind w:left="-90"/>
        <w:jc w:val="both"/>
        <w:textAlignment w:val="baseline"/>
      </w:pPr>
      <w:r w:rsidRPr="00CE167E">
        <w:t xml:space="preserve"> </w:t>
      </w:r>
    </w:p>
    <w:p w14:paraId="2096AFD6" w14:textId="303A916A" w:rsidR="00AA5491" w:rsidRPr="00CE167E" w:rsidRDefault="00AA5491" w:rsidP="00525147">
      <w:pPr>
        <w:pStyle w:val="rteindent1"/>
        <w:keepLines/>
        <w:shd w:val="clear" w:color="auto" w:fill="FFFFFF"/>
        <w:spacing w:before="0" w:beforeAutospacing="0" w:after="0" w:afterAutospacing="0" w:line="276" w:lineRule="auto"/>
        <w:ind w:left="-90"/>
        <w:jc w:val="both"/>
        <w:textAlignment w:val="baseline"/>
      </w:pPr>
      <w:r w:rsidRPr="00CE167E">
        <w:t xml:space="preserve">The adopted estimation approach for this </w:t>
      </w:r>
      <w:r w:rsidR="00FC23F9" w:rsidRPr="00CE167E">
        <w:t>industry for</w:t>
      </w:r>
      <w:r w:rsidRPr="00CE167E">
        <w:t xml:space="preserve"> national accounts variables are estimated according to </w:t>
      </w:r>
      <w:r w:rsidR="00FC23F9" w:rsidRPr="00CE167E">
        <w:t>a commodity flow approach measuring the</w:t>
      </w:r>
      <w:r w:rsidRPr="00CE167E">
        <w:t xml:space="preserve"> results of</w:t>
      </w:r>
      <w:r w:rsidR="00FC23F9" w:rsidRPr="00CE167E">
        <w:t xml:space="preserve"> changes in the flow construction inputs</w:t>
      </w:r>
      <w:r w:rsidR="00B333C9" w:rsidRPr="00CE167E">
        <w:t>. The approach utilizes changes in domestic manufacture of construction materials such as wood and related products</w:t>
      </w:r>
      <w:r w:rsidR="00C853E6" w:rsidRPr="00CE167E">
        <w:t>;</w:t>
      </w:r>
      <w:r w:rsidR="00B333C9" w:rsidRPr="00CE167E">
        <w:t xml:space="preserve"> paints and </w:t>
      </w:r>
      <w:r w:rsidR="00C853E6" w:rsidRPr="00CE167E">
        <w:t>varnishes; finished plastic products; non-metallic mineral products; fabricated metal products and the Quarrying Sand, Gravel, Limestone</w:t>
      </w:r>
      <w:r w:rsidR="00093527" w:rsidRPr="00CE167E">
        <w:t>. The</w:t>
      </w:r>
      <w:r w:rsidR="00C853E6" w:rsidRPr="00CE167E">
        <w:t xml:space="preserve"> net changes to merchandise trade of construction materials are also incorporated</w:t>
      </w:r>
      <w:r w:rsidR="00093527" w:rsidRPr="00CE167E">
        <w:t xml:space="preserve"> to determine the overall expenditures or material used up in construction. Other aggregated inputs measured included fuel and electricity and other services relative to construction output. </w:t>
      </w:r>
    </w:p>
    <w:p w14:paraId="53DE2D27" w14:textId="51E96AD8" w:rsidR="00C853E6" w:rsidRPr="00CE167E" w:rsidRDefault="00C853E6" w:rsidP="00525147">
      <w:pPr>
        <w:pStyle w:val="rteindent1"/>
        <w:keepLines/>
        <w:shd w:val="clear" w:color="auto" w:fill="FFFFFF"/>
        <w:spacing w:before="0" w:beforeAutospacing="0" w:after="0" w:afterAutospacing="0" w:line="276" w:lineRule="auto"/>
        <w:ind w:left="-90"/>
        <w:jc w:val="both"/>
        <w:textAlignment w:val="baseline"/>
      </w:pPr>
    </w:p>
    <w:p w14:paraId="6C4CE49B" w14:textId="2E068048" w:rsidR="00674BA2" w:rsidRPr="00CE167E" w:rsidRDefault="00093527" w:rsidP="00525147">
      <w:pPr>
        <w:pStyle w:val="rteindent1"/>
        <w:keepLines/>
        <w:shd w:val="clear" w:color="auto" w:fill="FFFFFF"/>
        <w:spacing w:before="0" w:beforeAutospacing="0" w:after="0" w:afterAutospacing="0" w:line="276" w:lineRule="auto"/>
        <w:ind w:left="-90"/>
        <w:jc w:val="both"/>
        <w:textAlignment w:val="baseline"/>
      </w:pPr>
      <w:r w:rsidRPr="00CE167E">
        <w:t xml:space="preserve">This total current price value of construction activities from the national accounts </w:t>
      </w:r>
      <w:r w:rsidR="00605956" w:rsidRPr="00CE167E">
        <w:t xml:space="preserve">GDP </w:t>
      </w:r>
      <w:r w:rsidRPr="00CE167E">
        <w:t xml:space="preserve">estimates is then adjusted for maintenance and repairs works carried out by the industry. For the purpose of this account, a fixed percentage of </w:t>
      </w:r>
      <w:r w:rsidR="00605956" w:rsidRPr="00CE167E">
        <w:t>(</w:t>
      </w:r>
      <w:r w:rsidRPr="00CE167E">
        <w:t>27%</w:t>
      </w:r>
      <w:r w:rsidR="00605956" w:rsidRPr="00CE167E">
        <w:t>)</w:t>
      </w:r>
      <w:r w:rsidRPr="00CE167E">
        <w:t xml:space="preserve"> was determine as an appropriate share of construction activities that form part of the current expenditure/intermediate consumption of residents. </w:t>
      </w:r>
    </w:p>
    <w:p w14:paraId="4A7418AE" w14:textId="77777777" w:rsidR="00525147" w:rsidRPr="00CE167E" w:rsidRDefault="00525147" w:rsidP="00525147">
      <w:pPr>
        <w:pStyle w:val="rteindent1"/>
        <w:keepLines/>
        <w:shd w:val="clear" w:color="auto" w:fill="FFFFFF"/>
        <w:spacing w:before="0" w:beforeAutospacing="0" w:after="0" w:afterAutospacing="0" w:line="276" w:lineRule="auto"/>
        <w:ind w:left="-90"/>
        <w:jc w:val="both"/>
        <w:textAlignment w:val="baseline"/>
        <w:rPr>
          <w:rStyle w:val="Strong"/>
          <w:b w:val="0"/>
          <w:bCs w:val="0"/>
        </w:rPr>
      </w:pPr>
    </w:p>
    <w:p w14:paraId="550B4FF0" w14:textId="5CD3D2EF" w:rsidR="00525147" w:rsidRPr="00CE167E" w:rsidRDefault="00674BA2" w:rsidP="00525147">
      <w:pPr>
        <w:pStyle w:val="Heading2"/>
        <w:jc w:val="both"/>
        <w:rPr>
          <w:rStyle w:val="Strong"/>
          <w:rFonts w:ascii="Times New Roman" w:hAnsi="Times New Roman" w:cs="Times New Roman"/>
          <w:b w:val="0"/>
          <w:bCs w:val="0"/>
          <w:sz w:val="24"/>
          <w:szCs w:val="24"/>
        </w:rPr>
      </w:pPr>
      <w:r w:rsidRPr="00CE167E">
        <w:rPr>
          <w:rStyle w:val="Strong"/>
          <w:rFonts w:ascii="Times New Roman" w:hAnsi="Times New Roman" w:cs="Times New Roman"/>
          <w:b w:val="0"/>
          <w:bCs w:val="0"/>
          <w:sz w:val="24"/>
          <w:szCs w:val="24"/>
        </w:rPr>
        <w:t>Machinery and Equipment</w:t>
      </w:r>
    </w:p>
    <w:p w14:paraId="45500453" w14:textId="77777777" w:rsidR="00525147" w:rsidRPr="00CE167E" w:rsidRDefault="00525147" w:rsidP="00525147">
      <w:pPr>
        <w:jc w:val="both"/>
        <w:rPr>
          <w:rFonts w:ascii="Times New Roman" w:hAnsi="Times New Roman" w:cs="Times New Roman"/>
          <w:sz w:val="24"/>
          <w:szCs w:val="24"/>
        </w:rPr>
      </w:pPr>
    </w:p>
    <w:p w14:paraId="2C40C8F2" w14:textId="25060688" w:rsidR="00674BA2" w:rsidRPr="00CE167E" w:rsidRDefault="00674BA2" w:rsidP="00525147">
      <w:pPr>
        <w:pStyle w:val="Heading3"/>
        <w:jc w:val="both"/>
        <w:rPr>
          <w:rFonts w:ascii="Times New Roman" w:hAnsi="Times New Roman" w:cs="Times New Roman"/>
        </w:rPr>
      </w:pPr>
      <w:r w:rsidRPr="00CE167E">
        <w:rPr>
          <w:rFonts w:ascii="Times New Roman" w:hAnsi="Times New Roman" w:cs="Times New Roman"/>
        </w:rPr>
        <w:t>Transport equipment</w:t>
      </w:r>
    </w:p>
    <w:p w14:paraId="1AE0AC17" w14:textId="1225B684" w:rsidR="00B85E4C" w:rsidRPr="00CE167E" w:rsidRDefault="0013175C" w:rsidP="00525147">
      <w:pPr>
        <w:pStyle w:val="rteindent1"/>
        <w:keepLines/>
        <w:shd w:val="clear" w:color="auto" w:fill="FFFFFF"/>
        <w:spacing w:before="0" w:beforeAutospacing="0" w:after="0" w:afterAutospacing="0" w:line="276" w:lineRule="auto"/>
        <w:ind w:left="-90"/>
        <w:jc w:val="both"/>
        <w:textAlignment w:val="baseline"/>
      </w:pPr>
      <w:r w:rsidRPr="00CE167E">
        <w:t xml:space="preserve">This component included expenditures on motor vehicles for transportation passengers or freight; trailers and semi-trailers; ships, boats and other floating structures for </w:t>
      </w:r>
      <w:r w:rsidR="00B2227B" w:rsidRPr="00CE167E">
        <w:t>transportation,</w:t>
      </w:r>
      <w:r w:rsidRPr="00CE167E">
        <w:t xml:space="preserve"> sport and recreation; aircrafts; military fighting vehicles; motorcycles; mopeds and bicycles. The capital formation value in current prices is determined as the total net </w:t>
      </w:r>
      <w:r w:rsidR="001F53AF" w:rsidRPr="00CE167E">
        <w:t>traded</w:t>
      </w:r>
      <w:r w:rsidRPr="00CE167E">
        <w:t xml:space="preserve"> value of these items. For items clearly used for commercial purpose and therefore form part of the capital expenditure of establishments, (100%) of the total values were included. </w:t>
      </w:r>
      <w:r w:rsidR="00B85E4C" w:rsidRPr="00CE167E">
        <w:t xml:space="preserve"> Other items that include some element of intermediate or final consumption were allocated accordingly.</w:t>
      </w:r>
    </w:p>
    <w:p w14:paraId="3EC9CCE8" w14:textId="77777777" w:rsidR="00B85E4C" w:rsidRPr="00CE167E" w:rsidRDefault="00B85E4C" w:rsidP="00525147">
      <w:pPr>
        <w:pStyle w:val="rteindent1"/>
        <w:keepLines/>
        <w:shd w:val="clear" w:color="auto" w:fill="FFFFFF"/>
        <w:spacing w:before="0" w:beforeAutospacing="0" w:after="0" w:afterAutospacing="0" w:line="276" w:lineRule="auto"/>
        <w:ind w:left="-90"/>
        <w:jc w:val="both"/>
        <w:textAlignment w:val="baseline"/>
      </w:pPr>
    </w:p>
    <w:p w14:paraId="73355610" w14:textId="1F3AF4C1" w:rsidR="00512087" w:rsidRPr="00CE167E" w:rsidRDefault="00B85E4C" w:rsidP="001F53AF">
      <w:pPr>
        <w:pStyle w:val="rteindent1"/>
        <w:keepLines/>
        <w:shd w:val="clear" w:color="auto" w:fill="FFFFFF"/>
        <w:spacing w:before="0" w:beforeAutospacing="0" w:after="0" w:afterAutospacing="0" w:line="276" w:lineRule="auto"/>
        <w:ind w:left="-90"/>
        <w:textAlignment w:val="baseline"/>
      </w:pPr>
      <w:r w:rsidRPr="00CE167E">
        <w:lastRenderedPageBreak/>
        <w:t>The following manufacture items of trade classified according to the eco</w:t>
      </w:r>
      <w:r w:rsidR="00DF1DCF">
        <w:t xml:space="preserve">nomic use of the product. i.e. </w:t>
      </w:r>
      <w:r w:rsidR="00D067D4">
        <w:rPr>
          <w:rStyle w:val="FootnoteReference"/>
        </w:rPr>
        <w:footnoteReference w:id="1"/>
      </w:r>
      <w:r w:rsidR="00DF1DCF">
        <w:t>S</w:t>
      </w:r>
      <w:r w:rsidR="001F53AF">
        <w:t xml:space="preserve">ITC </w:t>
      </w:r>
      <w:r w:rsidRPr="00CE167E">
        <w:t xml:space="preserve">were allocated to capital formation as follows: </w:t>
      </w:r>
    </w:p>
    <w:p w14:paraId="53BB2D40" w14:textId="77777777" w:rsidR="00B85E4C" w:rsidRDefault="00B85E4C" w:rsidP="00525147">
      <w:pPr>
        <w:pStyle w:val="rteindent1"/>
        <w:keepLines/>
        <w:shd w:val="clear" w:color="auto" w:fill="FFFFFF"/>
        <w:spacing w:before="0" w:beforeAutospacing="0" w:after="0" w:afterAutospacing="0" w:line="276" w:lineRule="auto"/>
        <w:ind w:left="-90"/>
        <w:jc w:val="both"/>
        <w:textAlignment w:val="baseline"/>
      </w:pPr>
    </w:p>
    <w:p w14:paraId="61F75CC3" w14:textId="77777777" w:rsidR="00D067D4" w:rsidRPr="00CE167E" w:rsidRDefault="00D067D4" w:rsidP="00525147">
      <w:pPr>
        <w:pStyle w:val="rteindent1"/>
        <w:keepLines/>
        <w:shd w:val="clear" w:color="auto" w:fill="FFFFFF"/>
        <w:spacing w:before="0" w:beforeAutospacing="0" w:after="0" w:afterAutospacing="0" w:line="276" w:lineRule="auto"/>
        <w:ind w:left="-90"/>
        <w:jc w:val="both"/>
        <w:textAlignment w:val="baseline"/>
      </w:pPr>
    </w:p>
    <w:tbl>
      <w:tblPr>
        <w:tblStyle w:val="TableGrid"/>
        <w:tblW w:w="0" w:type="auto"/>
        <w:jc w:val="center"/>
        <w:tblLook w:val="04A0" w:firstRow="1" w:lastRow="0" w:firstColumn="1" w:lastColumn="0" w:noHBand="0" w:noVBand="1"/>
      </w:tblPr>
      <w:tblGrid>
        <w:gridCol w:w="976"/>
        <w:gridCol w:w="5236"/>
        <w:gridCol w:w="1273"/>
      </w:tblGrid>
      <w:tr w:rsidR="009E1D85" w:rsidRPr="00D067D4" w14:paraId="75F40903" w14:textId="77777777" w:rsidTr="00E949D3">
        <w:trPr>
          <w:trHeight w:val="300"/>
          <w:tblHeader/>
          <w:jc w:val="center"/>
        </w:trPr>
        <w:tc>
          <w:tcPr>
            <w:tcW w:w="976" w:type="dxa"/>
            <w:noWrap/>
          </w:tcPr>
          <w:p w14:paraId="68CB72A8" w14:textId="77777777" w:rsidR="001321AC" w:rsidRPr="00D067D4" w:rsidRDefault="001321AC" w:rsidP="00525147">
            <w:pPr>
              <w:pStyle w:val="rteindent1"/>
              <w:keepLines/>
              <w:shd w:val="clear" w:color="auto" w:fill="FFFFFF"/>
              <w:spacing w:after="0" w:line="276" w:lineRule="auto"/>
              <w:ind w:left="-90"/>
              <w:jc w:val="both"/>
              <w:textAlignment w:val="baseline"/>
              <w:rPr>
                <w:b/>
                <w:bCs/>
              </w:rPr>
            </w:pPr>
            <w:r w:rsidRPr="00D067D4">
              <w:rPr>
                <w:b/>
                <w:bCs/>
              </w:rPr>
              <w:t>SITC</w:t>
            </w:r>
          </w:p>
        </w:tc>
        <w:tc>
          <w:tcPr>
            <w:tcW w:w="5236" w:type="dxa"/>
            <w:noWrap/>
          </w:tcPr>
          <w:p w14:paraId="5FFA9895" w14:textId="77777777" w:rsidR="001321AC" w:rsidRPr="00D067D4" w:rsidRDefault="001321AC" w:rsidP="00525147">
            <w:pPr>
              <w:pStyle w:val="rteindent1"/>
              <w:keepLines/>
              <w:shd w:val="clear" w:color="auto" w:fill="FFFFFF"/>
              <w:spacing w:after="0" w:line="276" w:lineRule="auto"/>
              <w:ind w:left="-90"/>
              <w:jc w:val="both"/>
              <w:textAlignment w:val="baseline"/>
              <w:rPr>
                <w:b/>
                <w:bCs/>
              </w:rPr>
            </w:pPr>
            <w:r w:rsidRPr="00D067D4">
              <w:rPr>
                <w:b/>
                <w:bCs/>
              </w:rPr>
              <w:t>Description</w:t>
            </w:r>
          </w:p>
        </w:tc>
        <w:tc>
          <w:tcPr>
            <w:tcW w:w="1073" w:type="dxa"/>
            <w:noWrap/>
          </w:tcPr>
          <w:p w14:paraId="2BBC6824" w14:textId="77777777" w:rsidR="001321AC" w:rsidRPr="00D067D4" w:rsidRDefault="001321AC" w:rsidP="00525147">
            <w:pPr>
              <w:pStyle w:val="rteindent1"/>
              <w:keepLines/>
              <w:shd w:val="clear" w:color="auto" w:fill="FFFFFF"/>
              <w:spacing w:after="0" w:line="276" w:lineRule="auto"/>
              <w:ind w:left="-90"/>
              <w:jc w:val="both"/>
              <w:textAlignment w:val="baseline"/>
              <w:rPr>
                <w:b/>
                <w:bCs/>
              </w:rPr>
            </w:pPr>
            <w:r w:rsidRPr="00D067D4">
              <w:rPr>
                <w:b/>
                <w:bCs/>
              </w:rPr>
              <w:t>% Capital Investment</w:t>
            </w:r>
          </w:p>
        </w:tc>
      </w:tr>
      <w:tr w:rsidR="009E1D85" w:rsidRPr="00D067D4" w14:paraId="64EFAAB5" w14:textId="77777777" w:rsidTr="00C77114">
        <w:trPr>
          <w:trHeight w:val="300"/>
          <w:jc w:val="center"/>
        </w:trPr>
        <w:tc>
          <w:tcPr>
            <w:tcW w:w="976" w:type="dxa"/>
            <w:noWrap/>
            <w:hideMark/>
          </w:tcPr>
          <w:p w14:paraId="3A2A47BE"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781</w:t>
            </w:r>
          </w:p>
        </w:tc>
        <w:tc>
          <w:tcPr>
            <w:tcW w:w="5236" w:type="dxa"/>
            <w:noWrap/>
            <w:hideMark/>
          </w:tcPr>
          <w:p w14:paraId="030F21C3"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MOTOR CARS</w:t>
            </w:r>
          </w:p>
        </w:tc>
        <w:tc>
          <w:tcPr>
            <w:tcW w:w="1073" w:type="dxa"/>
            <w:noWrap/>
            <w:hideMark/>
          </w:tcPr>
          <w:p w14:paraId="768EF23B"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25%</w:t>
            </w:r>
          </w:p>
        </w:tc>
      </w:tr>
      <w:tr w:rsidR="009E1D85" w:rsidRPr="00D067D4" w14:paraId="551CB92F" w14:textId="77777777" w:rsidTr="00C77114">
        <w:trPr>
          <w:trHeight w:val="300"/>
          <w:jc w:val="center"/>
        </w:trPr>
        <w:tc>
          <w:tcPr>
            <w:tcW w:w="976" w:type="dxa"/>
            <w:noWrap/>
            <w:hideMark/>
          </w:tcPr>
          <w:p w14:paraId="5974DA76"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782</w:t>
            </w:r>
          </w:p>
        </w:tc>
        <w:tc>
          <w:tcPr>
            <w:tcW w:w="5236" w:type="dxa"/>
            <w:noWrap/>
            <w:hideMark/>
          </w:tcPr>
          <w:p w14:paraId="72EDD29B"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GOODS &amp; SPECIAL PURPOSE MOTOR VEHICLES</w:t>
            </w:r>
          </w:p>
        </w:tc>
        <w:tc>
          <w:tcPr>
            <w:tcW w:w="1073" w:type="dxa"/>
            <w:noWrap/>
            <w:hideMark/>
          </w:tcPr>
          <w:p w14:paraId="28B57A2C"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100%</w:t>
            </w:r>
          </w:p>
        </w:tc>
      </w:tr>
      <w:tr w:rsidR="009E1D85" w:rsidRPr="00D067D4" w14:paraId="2E429CB7" w14:textId="77777777" w:rsidTr="00C77114">
        <w:trPr>
          <w:trHeight w:val="300"/>
          <w:jc w:val="center"/>
        </w:trPr>
        <w:tc>
          <w:tcPr>
            <w:tcW w:w="976" w:type="dxa"/>
            <w:noWrap/>
            <w:hideMark/>
          </w:tcPr>
          <w:p w14:paraId="49F919B0"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783</w:t>
            </w:r>
          </w:p>
        </w:tc>
        <w:tc>
          <w:tcPr>
            <w:tcW w:w="5236" w:type="dxa"/>
            <w:noWrap/>
            <w:hideMark/>
          </w:tcPr>
          <w:p w14:paraId="745B5811"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ROAD MOTOR VEHICLES NES</w:t>
            </w:r>
          </w:p>
        </w:tc>
        <w:tc>
          <w:tcPr>
            <w:tcW w:w="1073" w:type="dxa"/>
            <w:noWrap/>
            <w:hideMark/>
          </w:tcPr>
          <w:p w14:paraId="6F4E69ED"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50%</w:t>
            </w:r>
          </w:p>
        </w:tc>
      </w:tr>
      <w:tr w:rsidR="009E1D85" w:rsidRPr="00D067D4" w14:paraId="68BD7BC5" w14:textId="77777777" w:rsidTr="00C77114">
        <w:trPr>
          <w:trHeight w:val="300"/>
          <w:jc w:val="center"/>
        </w:trPr>
        <w:tc>
          <w:tcPr>
            <w:tcW w:w="976" w:type="dxa"/>
            <w:noWrap/>
            <w:hideMark/>
          </w:tcPr>
          <w:p w14:paraId="4C82D672"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784</w:t>
            </w:r>
          </w:p>
        </w:tc>
        <w:tc>
          <w:tcPr>
            <w:tcW w:w="5236" w:type="dxa"/>
            <w:noWrap/>
            <w:hideMark/>
          </w:tcPr>
          <w:p w14:paraId="5269B592"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MOTOR VEHICLE PARTS NES</w:t>
            </w:r>
          </w:p>
        </w:tc>
        <w:tc>
          <w:tcPr>
            <w:tcW w:w="1073" w:type="dxa"/>
            <w:noWrap/>
            <w:hideMark/>
          </w:tcPr>
          <w:p w14:paraId="3C6779EE"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0%</w:t>
            </w:r>
          </w:p>
        </w:tc>
      </w:tr>
      <w:tr w:rsidR="009E1D85" w:rsidRPr="00D067D4" w14:paraId="41AE14BD" w14:textId="77777777" w:rsidTr="00C77114">
        <w:trPr>
          <w:trHeight w:val="300"/>
          <w:jc w:val="center"/>
        </w:trPr>
        <w:tc>
          <w:tcPr>
            <w:tcW w:w="976" w:type="dxa"/>
            <w:noWrap/>
            <w:hideMark/>
          </w:tcPr>
          <w:p w14:paraId="48422C60"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785</w:t>
            </w:r>
          </w:p>
        </w:tc>
        <w:tc>
          <w:tcPr>
            <w:tcW w:w="5236" w:type="dxa"/>
            <w:noWrap/>
            <w:hideMark/>
          </w:tcPr>
          <w:p w14:paraId="2DAD49B9"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MOTORCYCLES &amp; CYCLES</w:t>
            </w:r>
          </w:p>
        </w:tc>
        <w:tc>
          <w:tcPr>
            <w:tcW w:w="1073" w:type="dxa"/>
            <w:noWrap/>
            <w:hideMark/>
          </w:tcPr>
          <w:p w14:paraId="6BF218CB"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1%</w:t>
            </w:r>
          </w:p>
        </w:tc>
      </w:tr>
      <w:tr w:rsidR="009E1D85" w:rsidRPr="00D067D4" w14:paraId="4E4BA52E" w14:textId="77777777" w:rsidTr="00C77114">
        <w:trPr>
          <w:trHeight w:val="300"/>
          <w:jc w:val="center"/>
        </w:trPr>
        <w:tc>
          <w:tcPr>
            <w:tcW w:w="976" w:type="dxa"/>
            <w:noWrap/>
            <w:hideMark/>
          </w:tcPr>
          <w:p w14:paraId="4E5E6D34"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786</w:t>
            </w:r>
          </w:p>
        </w:tc>
        <w:tc>
          <w:tcPr>
            <w:tcW w:w="5236" w:type="dxa"/>
            <w:noWrap/>
            <w:hideMark/>
          </w:tcPr>
          <w:p w14:paraId="179035DD"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TRAILERS &amp; CONTAINERS ETC</w:t>
            </w:r>
          </w:p>
        </w:tc>
        <w:tc>
          <w:tcPr>
            <w:tcW w:w="1073" w:type="dxa"/>
            <w:noWrap/>
            <w:hideMark/>
          </w:tcPr>
          <w:p w14:paraId="126F2E30"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100%</w:t>
            </w:r>
          </w:p>
        </w:tc>
      </w:tr>
      <w:tr w:rsidR="009E1D85" w:rsidRPr="00D067D4" w14:paraId="45B52F4A" w14:textId="77777777" w:rsidTr="00C77114">
        <w:trPr>
          <w:trHeight w:val="300"/>
          <w:jc w:val="center"/>
        </w:trPr>
        <w:tc>
          <w:tcPr>
            <w:tcW w:w="976" w:type="dxa"/>
            <w:noWrap/>
            <w:hideMark/>
          </w:tcPr>
          <w:p w14:paraId="470CA2F6"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791</w:t>
            </w:r>
          </w:p>
        </w:tc>
        <w:tc>
          <w:tcPr>
            <w:tcW w:w="5236" w:type="dxa"/>
            <w:noWrap/>
            <w:hideMark/>
          </w:tcPr>
          <w:p w14:paraId="4AD49B9F"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RAILWAY VEHICLES</w:t>
            </w:r>
          </w:p>
        </w:tc>
        <w:tc>
          <w:tcPr>
            <w:tcW w:w="1073" w:type="dxa"/>
            <w:noWrap/>
            <w:hideMark/>
          </w:tcPr>
          <w:p w14:paraId="5962FDF3"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100%</w:t>
            </w:r>
          </w:p>
        </w:tc>
      </w:tr>
      <w:tr w:rsidR="009E1D85" w:rsidRPr="00D067D4" w14:paraId="315D9BE4" w14:textId="77777777" w:rsidTr="00C77114">
        <w:trPr>
          <w:trHeight w:val="300"/>
          <w:jc w:val="center"/>
        </w:trPr>
        <w:tc>
          <w:tcPr>
            <w:tcW w:w="976" w:type="dxa"/>
            <w:noWrap/>
            <w:hideMark/>
          </w:tcPr>
          <w:p w14:paraId="52E405D2"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792</w:t>
            </w:r>
          </w:p>
        </w:tc>
        <w:tc>
          <w:tcPr>
            <w:tcW w:w="5236" w:type="dxa"/>
            <w:noWrap/>
            <w:hideMark/>
          </w:tcPr>
          <w:p w14:paraId="10C01E43"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AIRCRAFT, SPACECRAFT ETC.</w:t>
            </w:r>
          </w:p>
        </w:tc>
        <w:tc>
          <w:tcPr>
            <w:tcW w:w="1073" w:type="dxa"/>
            <w:noWrap/>
            <w:hideMark/>
          </w:tcPr>
          <w:p w14:paraId="3555A311"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50%</w:t>
            </w:r>
          </w:p>
        </w:tc>
      </w:tr>
      <w:tr w:rsidR="009E1D85" w:rsidRPr="00D067D4" w14:paraId="37073C3F" w14:textId="77777777" w:rsidTr="00C77114">
        <w:trPr>
          <w:trHeight w:val="300"/>
          <w:jc w:val="center"/>
        </w:trPr>
        <w:tc>
          <w:tcPr>
            <w:tcW w:w="976" w:type="dxa"/>
            <w:noWrap/>
            <w:hideMark/>
          </w:tcPr>
          <w:p w14:paraId="6F325610"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793</w:t>
            </w:r>
          </w:p>
        </w:tc>
        <w:tc>
          <w:tcPr>
            <w:tcW w:w="5236" w:type="dxa"/>
            <w:noWrap/>
            <w:hideMark/>
          </w:tcPr>
          <w:p w14:paraId="791C94A7" w14:textId="77777777" w:rsidR="00B85E4C" w:rsidRPr="00D067D4" w:rsidRDefault="00B85E4C" w:rsidP="00525147">
            <w:pPr>
              <w:pStyle w:val="rteindent1"/>
              <w:keepLines/>
              <w:shd w:val="clear" w:color="auto" w:fill="FFFFFF"/>
              <w:spacing w:after="0" w:line="276" w:lineRule="auto"/>
              <w:ind w:left="-90"/>
              <w:jc w:val="both"/>
              <w:textAlignment w:val="baseline"/>
              <w:rPr>
                <w:bCs/>
              </w:rPr>
            </w:pPr>
            <w:r w:rsidRPr="00D067D4">
              <w:rPr>
                <w:bCs/>
              </w:rPr>
              <w:t>SHIPS AND BOATS (imports only)</w:t>
            </w:r>
          </w:p>
        </w:tc>
        <w:tc>
          <w:tcPr>
            <w:tcW w:w="1073" w:type="dxa"/>
            <w:noWrap/>
            <w:hideMark/>
          </w:tcPr>
          <w:p w14:paraId="587FB9C9" w14:textId="77777777" w:rsidR="00B85E4C" w:rsidRPr="00D067D4" w:rsidRDefault="00B85E4C" w:rsidP="00525147">
            <w:pPr>
              <w:pStyle w:val="rteindent1"/>
              <w:keepLines/>
              <w:shd w:val="clear" w:color="auto" w:fill="FFFFFF"/>
              <w:spacing w:after="0" w:line="276" w:lineRule="auto"/>
              <w:ind w:left="-90"/>
              <w:jc w:val="both"/>
              <w:textAlignment w:val="baseline"/>
            </w:pPr>
            <w:r w:rsidRPr="00D067D4">
              <w:t>50%</w:t>
            </w:r>
          </w:p>
        </w:tc>
      </w:tr>
    </w:tbl>
    <w:p w14:paraId="0C5A76E5" w14:textId="1D51D25C" w:rsidR="00093527" w:rsidRPr="00CE167E" w:rsidRDefault="00093527" w:rsidP="00525147">
      <w:pPr>
        <w:pStyle w:val="rteindent1"/>
        <w:keepLines/>
        <w:shd w:val="clear" w:color="auto" w:fill="FFFFFF"/>
        <w:spacing w:before="0" w:beforeAutospacing="0" w:after="0" w:afterAutospacing="0" w:line="276" w:lineRule="auto"/>
        <w:jc w:val="both"/>
        <w:textAlignment w:val="baseline"/>
      </w:pPr>
    </w:p>
    <w:p w14:paraId="7A6724B0" w14:textId="77777777" w:rsidR="00D067D4" w:rsidRDefault="00D067D4" w:rsidP="00525147">
      <w:pPr>
        <w:pStyle w:val="rteindent1"/>
        <w:keepLines/>
        <w:shd w:val="clear" w:color="auto" w:fill="FFFFFF"/>
        <w:spacing w:before="0" w:beforeAutospacing="0" w:after="0" w:afterAutospacing="0" w:line="276" w:lineRule="auto"/>
        <w:jc w:val="both"/>
        <w:textAlignment w:val="baseline"/>
      </w:pPr>
    </w:p>
    <w:p w14:paraId="66FFDBBA" w14:textId="13FCBD36" w:rsidR="00B85E4C" w:rsidRPr="00CE167E" w:rsidRDefault="00B85E4C" w:rsidP="00525147">
      <w:pPr>
        <w:pStyle w:val="rteindent1"/>
        <w:keepLines/>
        <w:shd w:val="clear" w:color="auto" w:fill="FFFFFF"/>
        <w:spacing w:before="0" w:beforeAutospacing="0" w:after="0" w:afterAutospacing="0" w:line="276" w:lineRule="auto"/>
        <w:jc w:val="both"/>
        <w:textAlignment w:val="baseline"/>
      </w:pPr>
      <w:r w:rsidRPr="00CE167E">
        <w:t xml:space="preserve">One assumption made is that traditionally, within the Trinidad and Tobago domestic economy, ships and boats and other floating structures are not usually exported </w:t>
      </w:r>
      <w:r w:rsidR="00CE167E">
        <w:t>but</w:t>
      </w:r>
      <w:r w:rsidRPr="00CE167E">
        <w:t xml:space="preserve"> usually completely used up by the end of its useful life. As such, only </w:t>
      </w:r>
      <w:r w:rsidR="00DF1DCF" w:rsidRPr="00CE167E">
        <w:t>additions</w:t>
      </w:r>
      <w:r w:rsidR="00DF1DCF">
        <w:t xml:space="preserve"> (</w:t>
      </w:r>
      <w:r w:rsidR="00CE167E">
        <w:t>imports only)</w:t>
      </w:r>
      <w:r w:rsidRPr="00CE167E">
        <w:t xml:space="preserve"> are included in this account.</w:t>
      </w:r>
    </w:p>
    <w:p w14:paraId="7D30DDB1" w14:textId="66F866DA" w:rsidR="00093527" w:rsidRPr="00CE167E" w:rsidRDefault="00093527" w:rsidP="00525147">
      <w:pPr>
        <w:pStyle w:val="rteindent1"/>
        <w:keepLines/>
        <w:shd w:val="clear" w:color="auto" w:fill="FFFFFF"/>
        <w:spacing w:before="0" w:beforeAutospacing="0" w:after="0" w:afterAutospacing="0" w:line="276" w:lineRule="auto"/>
        <w:ind w:left="-90"/>
        <w:jc w:val="both"/>
        <w:textAlignment w:val="baseline"/>
      </w:pPr>
    </w:p>
    <w:p w14:paraId="628E9F52" w14:textId="5AD5F3B9" w:rsidR="00B2227B" w:rsidRPr="00CE167E" w:rsidRDefault="00B2227B" w:rsidP="00525147">
      <w:pPr>
        <w:pStyle w:val="Heading3"/>
        <w:jc w:val="both"/>
        <w:rPr>
          <w:rFonts w:ascii="Times New Roman" w:hAnsi="Times New Roman" w:cs="Times New Roman"/>
        </w:rPr>
      </w:pPr>
      <w:r w:rsidRPr="00CE167E">
        <w:rPr>
          <w:rFonts w:ascii="Times New Roman" w:hAnsi="Times New Roman" w:cs="Times New Roman"/>
        </w:rPr>
        <w:t>ICT Equipment</w:t>
      </w:r>
    </w:p>
    <w:p w14:paraId="734CEDD9" w14:textId="4411CE64" w:rsidR="00AA5491" w:rsidRPr="00CE167E" w:rsidRDefault="00B2227B" w:rsidP="00525147">
      <w:pPr>
        <w:pStyle w:val="rteindent1"/>
        <w:keepLines/>
        <w:shd w:val="clear" w:color="auto" w:fill="FFFFFF"/>
        <w:spacing w:before="0" w:beforeAutospacing="0" w:after="0" w:afterAutospacing="0" w:line="276" w:lineRule="auto"/>
        <w:jc w:val="both"/>
        <w:textAlignment w:val="baseline"/>
      </w:pPr>
      <w:r w:rsidRPr="00CE167E">
        <w:t>ICT equipment include any device that can process, store or communicate electronic information. This includes both IT and telecom equipment that formed part of capital for the years reported. Capital Formation on ICT equipment included expenditures on telecom equipment; banking equipment such as ATMs; data related equipment such as data pre-processing equipment, data processing equipment, data storage device, personal computer(PCs), plotter, printer, scanner, text processing equipment, visual display unit, retail equipment for instance cash registers; point of sale equipment; electronic scales; computer and office equipment, mainly; copier, shredder, duplicator, microscopic office equipment, screens, projector, computer, server, electric paper conveyor, paper trimmer (including hole puncher, cutting machine, sorting machine), collating machine, pencil sharpener, stapler, typewriter, e-book, tablet PC</w:t>
      </w:r>
      <w:r w:rsidR="001321AC" w:rsidRPr="00CE167E">
        <w:t xml:space="preserve">, Large data storage equipment and telecom network infrastructure and equipment. </w:t>
      </w:r>
    </w:p>
    <w:p w14:paraId="7A27BCA6" w14:textId="77777777" w:rsidR="003528C0" w:rsidRPr="00CE167E" w:rsidRDefault="003528C0" w:rsidP="00525147">
      <w:pPr>
        <w:pStyle w:val="rteindent1"/>
        <w:keepLines/>
        <w:shd w:val="clear" w:color="auto" w:fill="FFFFFF"/>
        <w:spacing w:before="0" w:beforeAutospacing="0" w:after="0" w:afterAutospacing="0" w:line="276" w:lineRule="auto"/>
        <w:jc w:val="both"/>
        <w:textAlignment w:val="baseline"/>
      </w:pPr>
    </w:p>
    <w:p w14:paraId="50C4A64A" w14:textId="28B9136B" w:rsidR="001321AC" w:rsidRPr="00CE167E" w:rsidRDefault="001321AC" w:rsidP="00525147">
      <w:pPr>
        <w:pStyle w:val="rteindent1"/>
        <w:keepLines/>
        <w:shd w:val="clear" w:color="auto" w:fill="FFFFFF"/>
        <w:spacing w:before="0" w:beforeAutospacing="0" w:after="0" w:afterAutospacing="0" w:line="276" w:lineRule="auto"/>
        <w:ind w:left="-90"/>
        <w:jc w:val="both"/>
        <w:textAlignment w:val="baseline"/>
      </w:pPr>
      <w:r w:rsidRPr="00CE167E">
        <w:t>The following manufacture items of trade classified according to the economic use of the product</w:t>
      </w:r>
      <w:r w:rsidR="00826E56" w:rsidRPr="00CE167E">
        <w:t xml:space="preserve"> </w:t>
      </w:r>
      <w:r w:rsidRPr="00CE167E">
        <w:t>i.e.</w:t>
      </w:r>
      <w:r w:rsidR="00826E56" w:rsidRPr="00CE167E">
        <w:t xml:space="preserve"> </w:t>
      </w:r>
      <w:r w:rsidRPr="00CE167E">
        <w:t>SITC</w:t>
      </w:r>
      <w:r w:rsidR="00826E56" w:rsidRPr="00CE167E">
        <w:t xml:space="preserve"> </w:t>
      </w:r>
      <w:r w:rsidRPr="00CE167E">
        <w:t xml:space="preserve">were allocated to capital formation as follows: </w:t>
      </w:r>
    </w:p>
    <w:p w14:paraId="7B4E85AE" w14:textId="0E6B6FF5" w:rsidR="001321AC" w:rsidRPr="00CE167E" w:rsidRDefault="001321AC" w:rsidP="00525147">
      <w:pPr>
        <w:pStyle w:val="rteindent1"/>
        <w:keepLines/>
        <w:shd w:val="clear" w:color="auto" w:fill="FFFFFF"/>
        <w:spacing w:before="0" w:beforeAutospacing="0" w:after="0" w:afterAutospacing="0" w:line="276" w:lineRule="auto"/>
        <w:ind w:left="-90"/>
        <w:jc w:val="both"/>
        <w:textAlignment w:val="baseline"/>
      </w:pPr>
    </w:p>
    <w:tbl>
      <w:tblPr>
        <w:tblStyle w:val="TableGrid"/>
        <w:tblW w:w="0" w:type="auto"/>
        <w:jc w:val="center"/>
        <w:tblLook w:val="04A0" w:firstRow="1" w:lastRow="0" w:firstColumn="1" w:lastColumn="0" w:noHBand="0" w:noVBand="1"/>
      </w:tblPr>
      <w:tblGrid>
        <w:gridCol w:w="976"/>
        <w:gridCol w:w="5236"/>
        <w:gridCol w:w="1273"/>
      </w:tblGrid>
      <w:tr w:rsidR="009E1D85" w:rsidRPr="00D067D4" w14:paraId="468BD12C" w14:textId="77777777" w:rsidTr="00C77114">
        <w:trPr>
          <w:trHeight w:val="300"/>
          <w:jc w:val="center"/>
        </w:trPr>
        <w:tc>
          <w:tcPr>
            <w:tcW w:w="976" w:type="dxa"/>
            <w:noWrap/>
          </w:tcPr>
          <w:p w14:paraId="73558A84" w14:textId="64280679" w:rsidR="001321AC" w:rsidRPr="00D067D4" w:rsidRDefault="001321AC" w:rsidP="00525147">
            <w:pPr>
              <w:pStyle w:val="rteindent1"/>
              <w:keepLines/>
              <w:shd w:val="clear" w:color="auto" w:fill="FFFFFF"/>
              <w:spacing w:after="0" w:line="276" w:lineRule="auto"/>
              <w:ind w:left="-90"/>
              <w:jc w:val="both"/>
              <w:textAlignment w:val="baseline"/>
              <w:rPr>
                <w:b/>
                <w:bCs/>
              </w:rPr>
            </w:pPr>
            <w:r w:rsidRPr="00D067D4">
              <w:rPr>
                <w:b/>
                <w:bCs/>
              </w:rPr>
              <w:lastRenderedPageBreak/>
              <w:t>SITC</w:t>
            </w:r>
          </w:p>
        </w:tc>
        <w:tc>
          <w:tcPr>
            <w:tcW w:w="5236" w:type="dxa"/>
            <w:noWrap/>
          </w:tcPr>
          <w:p w14:paraId="33AFEF07" w14:textId="07A5E6C4" w:rsidR="001321AC" w:rsidRPr="00D067D4" w:rsidRDefault="001321AC" w:rsidP="00525147">
            <w:pPr>
              <w:pStyle w:val="rteindent1"/>
              <w:keepLines/>
              <w:shd w:val="clear" w:color="auto" w:fill="FFFFFF"/>
              <w:spacing w:after="0" w:line="276" w:lineRule="auto"/>
              <w:ind w:left="-90"/>
              <w:jc w:val="both"/>
              <w:textAlignment w:val="baseline"/>
              <w:rPr>
                <w:b/>
                <w:bCs/>
              </w:rPr>
            </w:pPr>
            <w:r w:rsidRPr="00D067D4">
              <w:rPr>
                <w:b/>
                <w:bCs/>
              </w:rPr>
              <w:t>Description</w:t>
            </w:r>
          </w:p>
        </w:tc>
        <w:tc>
          <w:tcPr>
            <w:tcW w:w="1060" w:type="dxa"/>
            <w:noWrap/>
          </w:tcPr>
          <w:p w14:paraId="7F71A9CB" w14:textId="294CCD0B" w:rsidR="001321AC" w:rsidRPr="00D067D4" w:rsidRDefault="001321AC" w:rsidP="00525147">
            <w:pPr>
              <w:pStyle w:val="rteindent1"/>
              <w:keepLines/>
              <w:shd w:val="clear" w:color="auto" w:fill="FFFFFF"/>
              <w:spacing w:after="0" w:line="276" w:lineRule="auto"/>
              <w:ind w:left="-90"/>
              <w:jc w:val="both"/>
              <w:textAlignment w:val="baseline"/>
              <w:rPr>
                <w:b/>
              </w:rPr>
            </w:pPr>
            <w:r w:rsidRPr="00D067D4">
              <w:rPr>
                <w:b/>
              </w:rPr>
              <w:t>% Capital Investment</w:t>
            </w:r>
          </w:p>
        </w:tc>
      </w:tr>
      <w:tr w:rsidR="009E1D85" w:rsidRPr="00D067D4" w14:paraId="4EA28761" w14:textId="77777777" w:rsidTr="00C77114">
        <w:trPr>
          <w:trHeight w:val="300"/>
          <w:jc w:val="center"/>
        </w:trPr>
        <w:tc>
          <w:tcPr>
            <w:tcW w:w="976" w:type="dxa"/>
            <w:noWrap/>
            <w:hideMark/>
          </w:tcPr>
          <w:p w14:paraId="068ECDF8"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751</w:t>
            </w:r>
          </w:p>
        </w:tc>
        <w:tc>
          <w:tcPr>
            <w:tcW w:w="5236" w:type="dxa"/>
            <w:noWrap/>
            <w:hideMark/>
          </w:tcPr>
          <w:p w14:paraId="2F80512D"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OFFICE MACHINES</w:t>
            </w:r>
          </w:p>
        </w:tc>
        <w:tc>
          <w:tcPr>
            <w:tcW w:w="1060" w:type="dxa"/>
            <w:noWrap/>
            <w:hideMark/>
          </w:tcPr>
          <w:p w14:paraId="68B6FA05" w14:textId="77777777" w:rsidR="001321AC" w:rsidRPr="00D067D4" w:rsidRDefault="001321AC" w:rsidP="00525147">
            <w:pPr>
              <w:pStyle w:val="rteindent1"/>
              <w:keepLines/>
              <w:shd w:val="clear" w:color="auto" w:fill="FFFFFF"/>
              <w:spacing w:after="0" w:line="276" w:lineRule="auto"/>
              <w:ind w:left="-90"/>
              <w:jc w:val="both"/>
              <w:textAlignment w:val="baseline"/>
            </w:pPr>
            <w:r w:rsidRPr="00D067D4">
              <w:t>50%</w:t>
            </w:r>
          </w:p>
        </w:tc>
      </w:tr>
      <w:tr w:rsidR="009E1D85" w:rsidRPr="00D067D4" w14:paraId="0E644200" w14:textId="77777777" w:rsidTr="00C77114">
        <w:trPr>
          <w:trHeight w:val="300"/>
          <w:jc w:val="center"/>
        </w:trPr>
        <w:tc>
          <w:tcPr>
            <w:tcW w:w="976" w:type="dxa"/>
            <w:noWrap/>
            <w:hideMark/>
          </w:tcPr>
          <w:p w14:paraId="30384C4C"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752</w:t>
            </w:r>
          </w:p>
        </w:tc>
        <w:tc>
          <w:tcPr>
            <w:tcW w:w="5236" w:type="dxa"/>
            <w:noWrap/>
            <w:hideMark/>
          </w:tcPr>
          <w:p w14:paraId="7AD3C72A"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DATA PROCESSING MACHINES</w:t>
            </w:r>
          </w:p>
        </w:tc>
        <w:tc>
          <w:tcPr>
            <w:tcW w:w="1060" w:type="dxa"/>
            <w:noWrap/>
            <w:hideMark/>
          </w:tcPr>
          <w:p w14:paraId="298C8202" w14:textId="77777777" w:rsidR="001321AC" w:rsidRPr="00D067D4" w:rsidRDefault="001321AC" w:rsidP="00525147">
            <w:pPr>
              <w:pStyle w:val="rteindent1"/>
              <w:keepLines/>
              <w:shd w:val="clear" w:color="auto" w:fill="FFFFFF"/>
              <w:spacing w:after="0" w:line="276" w:lineRule="auto"/>
              <w:ind w:left="-90"/>
              <w:jc w:val="both"/>
              <w:textAlignment w:val="baseline"/>
            </w:pPr>
            <w:r w:rsidRPr="00D067D4">
              <w:t>50%</w:t>
            </w:r>
          </w:p>
        </w:tc>
      </w:tr>
      <w:tr w:rsidR="009E1D85" w:rsidRPr="00D067D4" w14:paraId="256A3D87" w14:textId="77777777" w:rsidTr="00C77114">
        <w:trPr>
          <w:trHeight w:val="300"/>
          <w:jc w:val="center"/>
        </w:trPr>
        <w:tc>
          <w:tcPr>
            <w:tcW w:w="976" w:type="dxa"/>
            <w:noWrap/>
            <w:hideMark/>
          </w:tcPr>
          <w:p w14:paraId="3744A11D"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759</w:t>
            </w:r>
          </w:p>
        </w:tc>
        <w:tc>
          <w:tcPr>
            <w:tcW w:w="5236" w:type="dxa"/>
            <w:noWrap/>
            <w:hideMark/>
          </w:tcPr>
          <w:p w14:paraId="5EE5A854"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OFFICE MACHINE PARTS</w:t>
            </w:r>
          </w:p>
        </w:tc>
        <w:tc>
          <w:tcPr>
            <w:tcW w:w="1060" w:type="dxa"/>
            <w:noWrap/>
            <w:hideMark/>
          </w:tcPr>
          <w:p w14:paraId="2B7793B4" w14:textId="77777777" w:rsidR="001321AC" w:rsidRPr="00D067D4" w:rsidRDefault="001321AC" w:rsidP="00525147">
            <w:pPr>
              <w:pStyle w:val="rteindent1"/>
              <w:keepLines/>
              <w:shd w:val="clear" w:color="auto" w:fill="FFFFFF"/>
              <w:spacing w:after="0" w:line="276" w:lineRule="auto"/>
              <w:ind w:left="-90"/>
              <w:jc w:val="both"/>
              <w:textAlignment w:val="baseline"/>
            </w:pPr>
            <w:r w:rsidRPr="00D067D4">
              <w:t>0%</w:t>
            </w:r>
          </w:p>
        </w:tc>
      </w:tr>
      <w:tr w:rsidR="009E1D85" w:rsidRPr="00D067D4" w14:paraId="7A0379F8" w14:textId="77777777" w:rsidTr="00C77114">
        <w:trPr>
          <w:trHeight w:val="300"/>
          <w:jc w:val="center"/>
        </w:trPr>
        <w:tc>
          <w:tcPr>
            <w:tcW w:w="976" w:type="dxa"/>
            <w:noWrap/>
            <w:hideMark/>
          </w:tcPr>
          <w:p w14:paraId="77C73569"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761</w:t>
            </w:r>
          </w:p>
        </w:tc>
        <w:tc>
          <w:tcPr>
            <w:tcW w:w="5236" w:type="dxa"/>
            <w:noWrap/>
            <w:hideMark/>
          </w:tcPr>
          <w:p w14:paraId="30590763"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TELEVISION RECEIVERS</w:t>
            </w:r>
          </w:p>
        </w:tc>
        <w:tc>
          <w:tcPr>
            <w:tcW w:w="1060" w:type="dxa"/>
            <w:noWrap/>
            <w:hideMark/>
          </w:tcPr>
          <w:p w14:paraId="627D3FBF" w14:textId="77777777" w:rsidR="001321AC" w:rsidRPr="00D067D4" w:rsidRDefault="001321AC" w:rsidP="00525147">
            <w:pPr>
              <w:pStyle w:val="rteindent1"/>
              <w:keepLines/>
              <w:shd w:val="clear" w:color="auto" w:fill="FFFFFF"/>
              <w:spacing w:after="0" w:line="276" w:lineRule="auto"/>
              <w:ind w:left="-90"/>
              <w:jc w:val="both"/>
              <w:textAlignment w:val="baseline"/>
            </w:pPr>
            <w:r w:rsidRPr="00D067D4">
              <w:t>50%</w:t>
            </w:r>
          </w:p>
        </w:tc>
      </w:tr>
      <w:tr w:rsidR="009E1D85" w:rsidRPr="00D067D4" w14:paraId="6125374D" w14:textId="77777777" w:rsidTr="00C77114">
        <w:trPr>
          <w:trHeight w:val="300"/>
          <w:jc w:val="center"/>
        </w:trPr>
        <w:tc>
          <w:tcPr>
            <w:tcW w:w="976" w:type="dxa"/>
            <w:noWrap/>
            <w:hideMark/>
          </w:tcPr>
          <w:p w14:paraId="726B1B66"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762</w:t>
            </w:r>
          </w:p>
        </w:tc>
        <w:tc>
          <w:tcPr>
            <w:tcW w:w="5236" w:type="dxa"/>
            <w:noWrap/>
            <w:hideMark/>
          </w:tcPr>
          <w:p w14:paraId="1206FF16"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RADIO APPARATUS FOR BROADCAST BROADCASTING</w:t>
            </w:r>
          </w:p>
        </w:tc>
        <w:tc>
          <w:tcPr>
            <w:tcW w:w="1060" w:type="dxa"/>
            <w:noWrap/>
            <w:hideMark/>
          </w:tcPr>
          <w:p w14:paraId="3174992E" w14:textId="77777777" w:rsidR="001321AC" w:rsidRPr="00D067D4" w:rsidRDefault="001321AC" w:rsidP="00525147">
            <w:pPr>
              <w:pStyle w:val="rteindent1"/>
              <w:keepLines/>
              <w:shd w:val="clear" w:color="auto" w:fill="FFFFFF"/>
              <w:spacing w:after="0" w:line="276" w:lineRule="auto"/>
              <w:ind w:left="-90"/>
              <w:jc w:val="both"/>
              <w:textAlignment w:val="baseline"/>
            </w:pPr>
            <w:r w:rsidRPr="00D067D4">
              <w:t>100%</w:t>
            </w:r>
          </w:p>
        </w:tc>
      </w:tr>
      <w:tr w:rsidR="009E1D85" w:rsidRPr="00D067D4" w14:paraId="21AE15B4" w14:textId="77777777" w:rsidTr="00C77114">
        <w:trPr>
          <w:trHeight w:val="300"/>
          <w:jc w:val="center"/>
        </w:trPr>
        <w:tc>
          <w:tcPr>
            <w:tcW w:w="976" w:type="dxa"/>
            <w:noWrap/>
            <w:hideMark/>
          </w:tcPr>
          <w:p w14:paraId="6BC76AA6"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763</w:t>
            </w:r>
          </w:p>
        </w:tc>
        <w:tc>
          <w:tcPr>
            <w:tcW w:w="5236" w:type="dxa"/>
            <w:noWrap/>
            <w:hideMark/>
          </w:tcPr>
          <w:p w14:paraId="5C534ECD"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SOUND RECORDERS</w:t>
            </w:r>
          </w:p>
        </w:tc>
        <w:tc>
          <w:tcPr>
            <w:tcW w:w="1060" w:type="dxa"/>
            <w:noWrap/>
            <w:hideMark/>
          </w:tcPr>
          <w:p w14:paraId="0302E8EA" w14:textId="77777777" w:rsidR="001321AC" w:rsidRPr="00D067D4" w:rsidRDefault="001321AC" w:rsidP="00525147">
            <w:pPr>
              <w:pStyle w:val="rteindent1"/>
              <w:keepLines/>
              <w:shd w:val="clear" w:color="auto" w:fill="FFFFFF"/>
              <w:spacing w:after="0" w:line="276" w:lineRule="auto"/>
              <w:ind w:left="-90"/>
              <w:jc w:val="both"/>
              <w:textAlignment w:val="baseline"/>
            </w:pPr>
            <w:r w:rsidRPr="00D067D4">
              <w:t>50%</w:t>
            </w:r>
          </w:p>
        </w:tc>
      </w:tr>
      <w:tr w:rsidR="009E1D85" w:rsidRPr="00D067D4" w14:paraId="01AADAE8" w14:textId="77777777" w:rsidTr="00C77114">
        <w:trPr>
          <w:trHeight w:val="300"/>
          <w:jc w:val="center"/>
        </w:trPr>
        <w:tc>
          <w:tcPr>
            <w:tcW w:w="976" w:type="dxa"/>
            <w:noWrap/>
            <w:hideMark/>
          </w:tcPr>
          <w:p w14:paraId="2E8352D1"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764</w:t>
            </w:r>
          </w:p>
        </w:tc>
        <w:tc>
          <w:tcPr>
            <w:tcW w:w="5236" w:type="dxa"/>
            <w:noWrap/>
            <w:hideMark/>
          </w:tcPr>
          <w:p w14:paraId="7F0CDDC9" w14:textId="77777777" w:rsidR="001321AC" w:rsidRPr="00D067D4" w:rsidRDefault="001321AC" w:rsidP="00525147">
            <w:pPr>
              <w:pStyle w:val="rteindent1"/>
              <w:keepLines/>
              <w:shd w:val="clear" w:color="auto" w:fill="FFFFFF"/>
              <w:spacing w:after="0" w:line="276" w:lineRule="auto"/>
              <w:ind w:left="-90"/>
              <w:jc w:val="both"/>
              <w:textAlignment w:val="baseline"/>
              <w:rPr>
                <w:bCs/>
              </w:rPr>
            </w:pPr>
            <w:r w:rsidRPr="00D067D4">
              <w:rPr>
                <w:bCs/>
              </w:rPr>
              <w:t>TELECOMMUNICATIONS EQUIPMENT</w:t>
            </w:r>
          </w:p>
        </w:tc>
        <w:tc>
          <w:tcPr>
            <w:tcW w:w="1060" w:type="dxa"/>
            <w:noWrap/>
            <w:hideMark/>
          </w:tcPr>
          <w:p w14:paraId="2BA55B43" w14:textId="77777777" w:rsidR="001321AC" w:rsidRPr="00D067D4" w:rsidRDefault="001321AC" w:rsidP="00525147">
            <w:pPr>
              <w:pStyle w:val="rteindent1"/>
              <w:keepLines/>
              <w:shd w:val="clear" w:color="auto" w:fill="FFFFFF"/>
              <w:spacing w:after="0" w:line="276" w:lineRule="auto"/>
              <w:ind w:left="-90"/>
              <w:jc w:val="both"/>
              <w:textAlignment w:val="baseline"/>
            </w:pPr>
            <w:r w:rsidRPr="00D067D4">
              <w:t>50%</w:t>
            </w:r>
          </w:p>
        </w:tc>
      </w:tr>
    </w:tbl>
    <w:p w14:paraId="4AB2BFE1" w14:textId="77777777" w:rsidR="001321AC" w:rsidRPr="00CE167E" w:rsidRDefault="001321AC" w:rsidP="00525147">
      <w:pPr>
        <w:pStyle w:val="rteindent1"/>
        <w:keepLines/>
        <w:shd w:val="clear" w:color="auto" w:fill="FFFFFF"/>
        <w:spacing w:before="0" w:beforeAutospacing="0" w:after="0" w:afterAutospacing="0" w:line="276" w:lineRule="auto"/>
        <w:ind w:left="-90"/>
        <w:jc w:val="both"/>
        <w:textAlignment w:val="baseline"/>
      </w:pPr>
    </w:p>
    <w:p w14:paraId="6A321102" w14:textId="23C98E5F" w:rsidR="001321AC" w:rsidRPr="00CE167E" w:rsidRDefault="001321AC" w:rsidP="00525147">
      <w:pPr>
        <w:pStyle w:val="Heading3"/>
        <w:jc w:val="both"/>
        <w:rPr>
          <w:rFonts w:ascii="Times New Roman" w:hAnsi="Times New Roman" w:cs="Times New Roman"/>
        </w:rPr>
      </w:pPr>
      <w:r w:rsidRPr="00CE167E">
        <w:rPr>
          <w:rFonts w:ascii="Times New Roman" w:hAnsi="Times New Roman" w:cs="Times New Roman"/>
        </w:rPr>
        <w:t>Other Machinery and Equipment</w:t>
      </w:r>
    </w:p>
    <w:p w14:paraId="06679700" w14:textId="00850B89" w:rsidR="001321AC" w:rsidRPr="00CE167E" w:rsidRDefault="0012587F"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Expenditures on equipment of an industrial or commercial nature </w:t>
      </w:r>
      <w:r w:rsidR="0075218B" w:rsidRPr="00CE167E">
        <w:rPr>
          <w:rFonts w:ascii="Times New Roman" w:hAnsi="Times New Roman" w:cs="Times New Roman"/>
          <w:sz w:val="24"/>
          <w:szCs w:val="24"/>
        </w:rPr>
        <w:t xml:space="preserve">that act independently on materials either mechanically or thermally or are used for handling, spraying, weighing or packing </w:t>
      </w:r>
      <w:r w:rsidRPr="00CE167E">
        <w:rPr>
          <w:rFonts w:ascii="Times New Roman" w:hAnsi="Times New Roman" w:cs="Times New Roman"/>
          <w:sz w:val="24"/>
          <w:szCs w:val="24"/>
        </w:rPr>
        <w:t xml:space="preserve">were included under this heading. Machinery </w:t>
      </w:r>
      <w:r w:rsidR="004E01A8" w:rsidRPr="00CE167E">
        <w:rPr>
          <w:rFonts w:ascii="Times New Roman" w:hAnsi="Times New Roman" w:cs="Times New Roman"/>
          <w:sz w:val="24"/>
          <w:szCs w:val="24"/>
        </w:rPr>
        <w:t xml:space="preserve">and Equipment </w:t>
      </w:r>
      <w:r w:rsidR="0075218B" w:rsidRPr="00CE167E">
        <w:rPr>
          <w:rFonts w:ascii="Times New Roman" w:hAnsi="Times New Roman" w:cs="Times New Roman"/>
          <w:sz w:val="24"/>
          <w:szCs w:val="24"/>
        </w:rPr>
        <w:t xml:space="preserve">component </w:t>
      </w:r>
      <w:r w:rsidR="0017721D" w:rsidRPr="00CE167E">
        <w:rPr>
          <w:rFonts w:ascii="Times New Roman" w:hAnsi="Times New Roman" w:cs="Times New Roman"/>
          <w:sz w:val="24"/>
          <w:szCs w:val="24"/>
        </w:rPr>
        <w:t xml:space="preserve">of the GFCF </w:t>
      </w:r>
      <w:r w:rsidR="0075218B" w:rsidRPr="00CE167E">
        <w:rPr>
          <w:rFonts w:ascii="Times New Roman" w:hAnsi="Times New Roman" w:cs="Times New Roman"/>
          <w:sz w:val="24"/>
          <w:szCs w:val="24"/>
        </w:rPr>
        <w:t>takes into account capital expenditure on general and special purpose machinery, agricultural and forestry machinery</w:t>
      </w:r>
      <w:r w:rsidR="0017721D" w:rsidRPr="00CE167E">
        <w:rPr>
          <w:rFonts w:ascii="Times New Roman" w:hAnsi="Times New Roman" w:cs="Times New Roman"/>
          <w:sz w:val="24"/>
          <w:szCs w:val="24"/>
        </w:rPr>
        <w:t xml:space="preserve">, </w:t>
      </w:r>
      <w:r w:rsidR="0075218B" w:rsidRPr="00CE167E">
        <w:rPr>
          <w:rFonts w:ascii="Times New Roman" w:hAnsi="Times New Roman" w:cs="Times New Roman"/>
          <w:sz w:val="24"/>
          <w:szCs w:val="24"/>
        </w:rPr>
        <w:t xml:space="preserve">engines and turbines, machinery for food, beverage and tobacco processing, textile, apparel and leather production and other special purpose machinery. </w:t>
      </w:r>
      <w:r w:rsidR="0017721D" w:rsidRPr="00CE167E">
        <w:rPr>
          <w:rFonts w:ascii="Times New Roman" w:hAnsi="Times New Roman" w:cs="Times New Roman"/>
          <w:sz w:val="24"/>
          <w:szCs w:val="24"/>
        </w:rPr>
        <w:t>Also included were furniture and related pro</w:t>
      </w:r>
      <w:r w:rsidR="00D067D4">
        <w:rPr>
          <w:rFonts w:ascii="Times New Roman" w:hAnsi="Times New Roman" w:cs="Times New Roman"/>
          <w:sz w:val="24"/>
          <w:szCs w:val="24"/>
        </w:rPr>
        <w:t xml:space="preserve">ducts, electric power machinery, </w:t>
      </w:r>
      <w:r w:rsidR="0017721D" w:rsidRPr="00CE167E">
        <w:rPr>
          <w:rFonts w:ascii="Times New Roman" w:hAnsi="Times New Roman" w:cs="Times New Roman"/>
          <w:sz w:val="24"/>
          <w:szCs w:val="24"/>
        </w:rPr>
        <w:t>electrical machinery and apparatus</w:t>
      </w:r>
      <w:r w:rsidR="00D067D4">
        <w:rPr>
          <w:rFonts w:ascii="Times New Roman" w:hAnsi="Times New Roman" w:cs="Times New Roman"/>
          <w:sz w:val="24"/>
          <w:szCs w:val="24"/>
        </w:rPr>
        <w:t xml:space="preserve"> paintings and art pieces and jewellery</w:t>
      </w:r>
      <w:r w:rsidR="0017721D" w:rsidRPr="00CE167E">
        <w:rPr>
          <w:rFonts w:ascii="Times New Roman" w:hAnsi="Times New Roman" w:cs="Times New Roman"/>
          <w:sz w:val="24"/>
          <w:szCs w:val="24"/>
        </w:rPr>
        <w:t xml:space="preserve">. </w:t>
      </w:r>
      <w:r w:rsidR="00D067D4">
        <w:rPr>
          <w:rFonts w:ascii="Times New Roman" w:hAnsi="Times New Roman" w:cs="Times New Roman"/>
          <w:sz w:val="24"/>
          <w:szCs w:val="24"/>
        </w:rPr>
        <w:t>All</w:t>
      </w:r>
      <w:r w:rsidR="00FE409C" w:rsidRPr="00CE167E">
        <w:rPr>
          <w:rFonts w:ascii="Times New Roman" w:hAnsi="Times New Roman" w:cs="Times New Roman"/>
          <w:sz w:val="24"/>
          <w:szCs w:val="24"/>
        </w:rPr>
        <w:t xml:space="preserve"> expenditures on machine tools, parts and accessories were allocated to intermediate or final consumption.</w:t>
      </w:r>
    </w:p>
    <w:p w14:paraId="34495DB9" w14:textId="2D764C15" w:rsidR="0017721D" w:rsidRPr="00CE167E" w:rsidRDefault="0017721D" w:rsidP="00525147">
      <w:pPr>
        <w:pStyle w:val="rteindent1"/>
        <w:keepLines/>
        <w:shd w:val="clear" w:color="auto" w:fill="FFFFFF"/>
        <w:spacing w:before="0" w:beforeAutospacing="0" w:after="0" w:afterAutospacing="0" w:line="276" w:lineRule="auto"/>
        <w:ind w:left="-90"/>
        <w:jc w:val="both"/>
        <w:textAlignment w:val="baseline"/>
      </w:pPr>
      <w:r w:rsidRPr="00CE167E">
        <w:t>The following manufacture items of trade classified according to the ec</w:t>
      </w:r>
      <w:r w:rsidR="00292A19">
        <w:t xml:space="preserve">onomic use of the product. i.e. SITC </w:t>
      </w:r>
      <w:r w:rsidRPr="00CE167E">
        <w:t xml:space="preserve">were allocated to capital formation as follows: </w:t>
      </w:r>
    </w:p>
    <w:p w14:paraId="69441C0C" w14:textId="74F4D50B" w:rsidR="0017721D" w:rsidRPr="00CE167E" w:rsidRDefault="0017721D" w:rsidP="00525147">
      <w:pPr>
        <w:keepLines/>
        <w:spacing w:line="276"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76"/>
        <w:gridCol w:w="5236"/>
        <w:gridCol w:w="1273"/>
      </w:tblGrid>
      <w:tr w:rsidR="009E1D85" w:rsidRPr="00D067D4" w14:paraId="6D7E5A8D" w14:textId="77777777" w:rsidTr="00E949D3">
        <w:trPr>
          <w:trHeight w:val="300"/>
          <w:tblHeader/>
          <w:jc w:val="center"/>
        </w:trPr>
        <w:tc>
          <w:tcPr>
            <w:tcW w:w="976" w:type="dxa"/>
            <w:noWrap/>
          </w:tcPr>
          <w:p w14:paraId="1ABDF5C4" w14:textId="77777777" w:rsidR="0017721D" w:rsidRPr="00D067D4" w:rsidRDefault="0017721D" w:rsidP="00525147">
            <w:pPr>
              <w:pStyle w:val="rteindent1"/>
              <w:keepLines/>
              <w:shd w:val="clear" w:color="auto" w:fill="FFFFFF"/>
              <w:spacing w:after="0" w:line="276" w:lineRule="auto"/>
              <w:ind w:left="-90"/>
              <w:jc w:val="both"/>
              <w:textAlignment w:val="baseline"/>
              <w:rPr>
                <w:b/>
                <w:bCs/>
              </w:rPr>
            </w:pPr>
            <w:r w:rsidRPr="00D067D4">
              <w:rPr>
                <w:b/>
                <w:bCs/>
              </w:rPr>
              <w:t>SITC</w:t>
            </w:r>
          </w:p>
        </w:tc>
        <w:tc>
          <w:tcPr>
            <w:tcW w:w="5236" w:type="dxa"/>
            <w:noWrap/>
          </w:tcPr>
          <w:p w14:paraId="048A1661" w14:textId="77777777" w:rsidR="0017721D" w:rsidRPr="00D067D4" w:rsidRDefault="0017721D" w:rsidP="00525147">
            <w:pPr>
              <w:pStyle w:val="rteindent1"/>
              <w:keepLines/>
              <w:shd w:val="clear" w:color="auto" w:fill="FFFFFF"/>
              <w:spacing w:after="0" w:line="276" w:lineRule="auto"/>
              <w:ind w:left="-90"/>
              <w:jc w:val="both"/>
              <w:textAlignment w:val="baseline"/>
              <w:rPr>
                <w:b/>
                <w:bCs/>
              </w:rPr>
            </w:pPr>
            <w:r w:rsidRPr="00D067D4">
              <w:rPr>
                <w:b/>
                <w:bCs/>
              </w:rPr>
              <w:t>Description</w:t>
            </w:r>
          </w:p>
        </w:tc>
        <w:tc>
          <w:tcPr>
            <w:tcW w:w="1060" w:type="dxa"/>
            <w:noWrap/>
          </w:tcPr>
          <w:p w14:paraId="4089473A" w14:textId="218AFED9" w:rsidR="0017721D" w:rsidRPr="00D067D4" w:rsidRDefault="0017721D" w:rsidP="00525147">
            <w:pPr>
              <w:pStyle w:val="rteindent1"/>
              <w:keepLines/>
              <w:shd w:val="clear" w:color="auto" w:fill="FFFFFF"/>
              <w:spacing w:after="0" w:line="276" w:lineRule="auto"/>
              <w:ind w:left="-90"/>
              <w:jc w:val="both"/>
              <w:textAlignment w:val="baseline"/>
              <w:rPr>
                <w:b/>
              </w:rPr>
            </w:pPr>
            <w:r w:rsidRPr="00D067D4">
              <w:rPr>
                <w:b/>
              </w:rPr>
              <w:t>% Capital Investment</w:t>
            </w:r>
          </w:p>
        </w:tc>
      </w:tr>
      <w:tr w:rsidR="009E1D85" w:rsidRPr="00D067D4" w14:paraId="2B1A5F5F" w14:textId="77777777" w:rsidTr="00C77114">
        <w:trPr>
          <w:trHeight w:val="300"/>
          <w:jc w:val="center"/>
        </w:trPr>
        <w:tc>
          <w:tcPr>
            <w:tcW w:w="976" w:type="dxa"/>
            <w:noWrap/>
          </w:tcPr>
          <w:p w14:paraId="6EA2827A" w14:textId="77777777" w:rsidR="0017721D" w:rsidRPr="00D067D4" w:rsidRDefault="0017721D" w:rsidP="00525147">
            <w:pPr>
              <w:pStyle w:val="rteindent1"/>
              <w:keepLines/>
              <w:shd w:val="clear" w:color="auto" w:fill="FFFFFF"/>
              <w:spacing w:after="0" w:line="276" w:lineRule="auto"/>
              <w:ind w:left="-90"/>
              <w:jc w:val="both"/>
              <w:textAlignment w:val="baseline"/>
              <w:rPr>
                <w:bCs/>
              </w:rPr>
            </w:pPr>
          </w:p>
        </w:tc>
        <w:tc>
          <w:tcPr>
            <w:tcW w:w="5236" w:type="dxa"/>
            <w:noWrap/>
          </w:tcPr>
          <w:p w14:paraId="6B747961" w14:textId="77777777" w:rsidR="0017721D" w:rsidRPr="00D067D4" w:rsidRDefault="0017721D" w:rsidP="00525147">
            <w:pPr>
              <w:pStyle w:val="rteindent1"/>
              <w:keepLines/>
              <w:shd w:val="clear" w:color="auto" w:fill="FFFFFF"/>
              <w:spacing w:after="0" w:line="276" w:lineRule="auto"/>
              <w:ind w:left="-90"/>
              <w:jc w:val="both"/>
              <w:textAlignment w:val="baseline"/>
              <w:rPr>
                <w:bCs/>
              </w:rPr>
            </w:pPr>
          </w:p>
        </w:tc>
        <w:tc>
          <w:tcPr>
            <w:tcW w:w="1060" w:type="dxa"/>
            <w:noWrap/>
          </w:tcPr>
          <w:p w14:paraId="6E617034" w14:textId="77777777" w:rsidR="0017721D" w:rsidRPr="00D067D4" w:rsidRDefault="0017721D" w:rsidP="00525147">
            <w:pPr>
              <w:pStyle w:val="rteindent1"/>
              <w:keepLines/>
              <w:shd w:val="clear" w:color="auto" w:fill="FFFFFF"/>
              <w:spacing w:after="0" w:line="276" w:lineRule="auto"/>
              <w:ind w:left="-90"/>
              <w:jc w:val="both"/>
              <w:textAlignment w:val="baseline"/>
            </w:pPr>
          </w:p>
        </w:tc>
      </w:tr>
      <w:tr w:rsidR="009E1D85" w:rsidRPr="00D067D4" w14:paraId="5099A4EC" w14:textId="77777777" w:rsidTr="00C77114">
        <w:trPr>
          <w:trHeight w:val="300"/>
          <w:jc w:val="center"/>
        </w:trPr>
        <w:tc>
          <w:tcPr>
            <w:tcW w:w="976" w:type="dxa"/>
            <w:noWrap/>
            <w:hideMark/>
          </w:tcPr>
          <w:p w14:paraId="3231D1A2"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711</w:t>
            </w:r>
          </w:p>
        </w:tc>
        <w:tc>
          <w:tcPr>
            <w:tcW w:w="5236" w:type="dxa"/>
            <w:noWrap/>
            <w:hideMark/>
          </w:tcPr>
          <w:p w14:paraId="3C440779"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STEAM-VAPOUR BOILERS</w:t>
            </w:r>
          </w:p>
        </w:tc>
        <w:tc>
          <w:tcPr>
            <w:tcW w:w="1060" w:type="dxa"/>
            <w:noWrap/>
            <w:hideMark/>
          </w:tcPr>
          <w:p w14:paraId="18DF7BB6"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1AD2E1B7" w14:textId="77777777" w:rsidTr="00C77114">
        <w:trPr>
          <w:trHeight w:val="300"/>
          <w:jc w:val="center"/>
        </w:trPr>
        <w:tc>
          <w:tcPr>
            <w:tcW w:w="976" w:type="dxa"/>
            <w:noWrap/>
            <w:hideMark/>
          </w:tcPr>
          <w:p w14:paraId="3158C73B"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712</w:t>
            </w:r>
          </w:p>
        </w:tc>
        <w:tc>
          <w:tcPr>
            <w:tcW w:w="5236" w:type="dxa"/>
            <w:noWrap/>
            <w:hideMark/>
          </w:tcPr>
          <w:p w14:paraId="35DFDF93"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STEAM-VAPOUR TURBINES</w:t>
            </w:r>
          </w:p>
        </w:tc>
        <w:tc>
          <w:tcPr>
            <w:tcW w:w="1060" w:type="dxa"/>
            <w:noWrap/>
            <w:hideMark/>
          </w:tcPr>
          <w:p w14:paraId="6890ECA2"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1FFE0FED" w14:textId="77777777" w:rsidTr="00C77114">
        <w:trPr>
          <w:trHeight w:val="300"/>
          <w:jc w:val="center"/>
        </w:trPr>
        <w:tc>
          <w:tcPr>
            <w:tcW w:w="976" w:type="dxa"/>
            <w:noWrap/>
            <w:hideMark/>
          </w:tcPr>
          <w:p w14:paraId="2729DB4F"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713</w:t>
            </w:r>
          </w:p>
        </w:tc>
        <w:tc>
          <w:tcPr>
            <w:tcW w:w="5236" w:type="dxa"/>
            <w:noWrap/>
            <w:hideMark/>
          </w:tcPr>
          <w:p w14:paraId="0BCF3786"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INTERNAL COMBUSTION ENGINES</w:t>
            </w:r>
          </w:p>
        </w:tc>
        <w:tc>
          <w:tcPr>
            <w:tcW w:w="1060" w:type="dxa"/>
            <w:noWrap/>
            <w:hideMark/>
          </w:tcPr>
          <w:p w14:paraId="2791D0A5"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3FB60C32" w14:textId="77777777" w:rsidTr="00C77114">
        <w:trPr>
          <w:trHeight w:val="300"/>
          <w:jc w:val="center"/>
        </w:trPr>
        <w:tc>
          <w:tcPr>
            <w:tcW w:w="976" w:type="dxa"/>
            <w:noWrap/>
            <w:hideMark/>
          </w:tcPr>
          <w:p w14:paraId="70B5C399"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714</w:t>
            </w:r>
          </w:p>
        </w:tc>
        <w:tc>
          <w:tcPr>
            <w:tcW w:w="5236" w:type="dxa"/>
            <w:noWrap/>
            <w:hideMark/>
          </w:tcPr>
          <w:p w14:paraId="081DAFE2"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ENGINES &amp; MOTORS NON-ELECTRIC</w:t>
            </w:r>
          </w:p>
        </w:tc>
        <w:tc>
          <w:tcPr>
            <w:tcW w:w="1060" w:type="dxa"/>
            <w:noWrap/>
            <w:hideMark/>
          </w:tcPr>
          <w:p w14:paraId="75F128C5"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7206C52F" w14:textId="77777777" w:rsidTr="00C77114">
        <w:trPr>
          <w:trHeight w:val="300"/>
          <w:jc w:val="center"/>
        </w:trPr>
        <w:tc>
          <w:tcPr>
            <w:tcW w:w="976" w:type="dxa"/>
            <w:noWrap/>
            <w:hideMark/>
          </w:tcPr>
          <w:p w14:paraId="45FEB31B"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716</w:t>
            </w:r>
          </w:p>
        </w:tc>
        <w:tc>
          <w:tcPr>
            <w:tcW w:w="5236" w:type="dxa"/>
            <w:noWrap/>
            <w:hideMark/>
          </w:tcPr>
          <w:p w14:paraId="5729DD96"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ROTATING ELECTRICAL PLANT</w:t>
            </w:r>
          </w:p>
        </w:tc>
        <w:tc>
          <w:tcPr>
            <w:tcW w:w="1060" w:type="dxa"/>
            <w:noWrap/>
            <w:hideMark/>
          </w:tcPr>
          <w:p w14:paraId="7C26A7F8"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446B8F74" w14:textId="77777777" w:rsidTr="00C77114">
        <w:trPr>
          <w:trHeight w:val="300"/>
          <w:jc w:val="center"/>
        </w:trPr>
        <w:tc>
          <w:tcPr>
            <w:tcW w:w="976" w:type="dxa"/>
            <w:noWrap/>
            <w:hideMark/>
          </w:tcPr>
          <w:p w14:paraId="08C79217"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718</w:t>
            </w:r>
          </w:p>
        </w:tc>
        <w:tc>
          <w:tcPr>
            <w:tcW w:w="5236" w:type="dxa"/>
            <w:noWrap/>
            <w:hideMark/>
          </w:tcPr>
          <w:p w14:paraId="6B3C3320"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OTHER POWER GENERATING MACHINERY &amp; PARTS</w:t>
            </w:r>
          </w:p>
        </w:tc>
        <w:tc>
          <w:tcPr>
            <w:tcW w:w="1060" w:type="dxa"/>
            <w:noWrap/>
            <w:hideMark/>
          </w:tcPr>
          <w:p w14:paraId="7F824A5B"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595E8986" w14:textId="77777777" w:rsidTr="00C77114">
        <w:trPr>
          <w:trHeight w:val="300"/>
          <w:jc w:val="center"/>
        </w:trPr>
        <w:tc>
          <w:tcPr>
            <w:tcW w:w="976" w:type="dxa"/>
            <w:noWrap/>
            <w:hideMark/>
          </w:tcPr>
          <w:p w14:paraId="6D6B1B7F"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721</w:t>
            </w:r>
          </w:p>
        </w:tc>
        <w:tc>
          <w:tcPr>
            <w:tcW w:w="5236" w:type="dxa"/>
            <w:noWrap/>
            <w:hideMark/>
          </w:tcPr>
          <w:p w14:paraId="410AC67B"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AGRICULTURAL MACHINERY</w:t>
            </w:r>
          </w:p>
        </w:tc>
        <w:tc>
          <w:tcPr>
            <w:tcW w:w="1060" w:type="dxa"/>
            <w:noWrap/>
            <w:hideMark/>
          </w:tcPr>
          <w:p w14:paraId="556D3386"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6C9B62CD" w14:textId="77777777" w:rsidTr="00C77114">
        <w:trPr>
          <w:trHeight w:val="300"/>
          <w:jc w:val="center"/>
        </w:trPr>
        <w:tc>
          <w:tcPr>
            <w:tcW w:w="976" w:type="dxa"/>
            <w:noWrap/>
            <w:hideMark/>
          </w:tcPr>
          <w:p w14:paraId="1ACEBE76"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722</w:t>
            </w:r>
          </w:p>
        </w:tc>
        <w:tc>
          <w:tcPr>
            <w:tcW w:w="5236" w:type="dxa"/>
            <w:noWrap/>
            <w:hideMark/>
          </w:tcPr>
          <w:p w14:paraId="086D741C"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TRACTORS NES</w:t>
            </w:r>
          </w:p>
        </w:tc>
        <w:tc>
          <w:tcPr>
            <w:tcW w:w="1060" w:type="dxa"/>
            <w:noWrap/>
            <w:hideMark/>
          </w:tcPr>
          <w:p w14:paraId="6A0C1556"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2301FAFB" w14:textId="77777777" w:rsidTr="00C77114">
        <w:trPr>
          <w:trHeight w:val="300"/>
          <w:jc w:val="center"/>
        </w:trPr>
        <w:tc>
          <w:tcPr>
            <w:tcW w:w="976" w:type="dxa"/>
            <w:noWrap/>
            <w:hideMark/>
          </w:tcPr>
          <w:p w14:paraId="202A3528"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723</w:t>
            </w:r>
          </w:p>
        </w:tc>
        <w:tc>
          <w:tcPr>
            <w:tcW w:w="5236" w:type="dxa"/>
            <w:noWrap/>
            <w:hideMark/>
          </w:tcPr>
          <w:p w14:paraId="0E45FB8D"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CONTRACTORS' PLANT &amp; EQUIPMENT</w:t>
            </w:r>
          </w:p>
        </w:tc>
        <w:tc>
          <w:tcPr>
            <w:tcW w:w="1060" w:type="dxa"/>
            <w:noWrap/>
            <w:hideMark/>
          </w:tcPr>
          <w:p w14:paraId="2DD016A8"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0D60F50D" w14:textId="77777777" w:rsidTr="00C77114">
        <w:trPr>
          <w:trHeight w:val="300"/>
          <w:jc w:val="center"/>
        </w:trPr>
        <w:tc>
          <w:tcPr>
            <w:tcW w:w="976" w:type="dxa"/>
            <w:noWrap/>
            <w:hideMark/>
          </w:tcPr>
          <w:p w14:paraId="1E0641C2"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724</w:t>
            </w:r>
          </w:p>
        </w:tc>
        <w:tc>
          <w:tcPr>
            <w:tcW w:w="5236" w:type="dxa"/>
            <w:noWrap/>
            <w:hideMark/>
          </w:tcPr>
          <w:p w14:paraId="71156965"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TEXTILE &amp; LEATHER MACHINERY &amp; PARTS</w:t>
            </w:r>
          </w:p>
        </w:tc>
        <w:tc>
          <w:tcPr>
            <w:tcW w:w="1060" w:type="dxa"/>
            <w:noWrap/>
            <w:hideMark/>
          </w:tcPr>
          <w:p w14:paraId="5D793130"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490C7F5C" w14:textId="77777777" w:rsidTr="00C77114">
        <w:trPr>
          <w:trHeight w:val="300"/>
          <w:jc w:val="center"/>
        </w:trPr>
        <w:tc>
          <w:tcPr>
            <w:tcW w:w="976" w:type="dxa"/>
            <w:noWrap/>
            <w:hideMark/>
          </w:tcPr>
          <w:p w14:paraId="5BA5BBCD"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725</w:t>
            </w:r>
          </w:p>
        </w:tc>
        <w:tc>
          <w:tcPr>
            <w:tcW w:w="5236" w:type="dxa"/>
            <w:noWrap/>
            <w:hideMark/>
          </w:tcPr>
          <w:p w14:paraId="00229DA4"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PAPER MAKING MACHINERY</w:t>
            </w:r>
          </w:p>
        </w:tc>
        <w:tc>
          <w:tcPr>
            <w:tcW w:w="1060" w:type="dxa"/>
            <w:noWrap/>
            <w:hideMark/>
          </w:tcPr>
          <w:p w14:paraId="4B063AD9"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5CB56A3E" w14:textId="77777777" w:rsidTr="00C77114">
        <w:trPr>
          <w:trHeight w:val="300"/>
          <w:jc w:val="center"/>
        </w:trPr>
        <w:tc>
          <w:tcPr>
            <w:tcW w:w="976" w:type="dxa"/>
            <w:noWrap/>
            <w:hideMark/>
          </w:tcPr>
          <w:p w14:paraId="7F7EBD31"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lastRenderedPageBreak/>
              <w:t>726</w:t>
            </w:r>
          </w:p>
        </w:tc>
        <w:tc>
          <w:tcPr>
            <w:tcW w:w="5236" w:type="dxa"/>
            <w:noWrap/>
            <w:hideMark/>
          </w:tcPr>
          <w:p w14:paraId="3C2CF9A9"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PRINTING &amp; BOOK BINDING MACHINERY</w:t>
            </w:r>
          </w:p>
        </w:tc>
        <w:tc>
          <w:tcPr>
            <w:tcW w:w="1060" w:type="dxa"/>
            <w:noWrap/>
            <w:hideMark/>
          </w:tcPr>
          <w:p w14:paraId="2472A1C9"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1902A51E" w14:textId="77777777" w:rsidTr="00C77114">
        <w:trPr>
          <w:trHeight w:val="300"/>
          <w:jc w:val="center"/>
        </w:trPr>
        <w:tc>
          <w:tcPr>
            <w:tcW w:w="976" w:type="dxa"/>
            <w:noWrap/>
            <w:hideMark/>
          </w:tcPr>
          <w:p w14:paraId="36B9BEA4"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727</w:t>
            </w:r>
          </w:p>
        </w:tc>
        <w:tc>
          <w:tcPr>
            <w:tcW w:w="5236" w:type="dxa"/>
            <w:noWrap/>
            <w:hideMark/>
          </w:tcPr>
          <w:p w14:paraId="0ED3658F"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FOOD PROCESSING MACHINES</w:t>
            </w:r>
          </w:p>
        </w:tc>
        <w:tc>
          <w:tcPr>
            <w:tcW w:w="1060" w:type="dxa"/>
            <w:noWrap/>
            <w:hideMark/>
          </w:tcPr>
          <w:p w14:paraId="5EEBD977"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34D8611F" w14:textId="77777777" w:rsidTr="00C77114">
        <w:trPr>
          <w:trHeight w:val="300"/>
          <w:jc w:val="center"/>
        </w:trPr>
        <w:tc>
          <w:tcPr>
            <w:tcW w:w="976" w:type="dxa"/>
            <w:noWrap/>
            <w:hideMark/>
          </w:tcPr>
          <w:p w14:paraId="15851F2E"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728</w:t>
            </w:r>
          </w:p>
        </w:tc>
        <w:tc>
          <w:tcPr>
            <w:tcW w:w="5236" w:type="dxa"/>
            <w:noWrap/>
            <w:hideMark/>
          </w:tcPr>
          <w:p w14:paraId="2F09F2CA"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OTHER MACHINERY NES</w:t>
            </w:r>
          </w:p>
        </w:tc>
        <w:tc>
          <w:tcPr>
            <w:tcW w:w="1060" w:type="dxa"/>
            <w:noWrap/>
            <w:hideMark/>
          </w:tcPr>
          <w:p w14:paraId="2BB40960"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585EA054" w14:textId="77777777" w:rsidTr="00C77114">
        <w:trPr>
          <w:trHeight w:val="300"/>
          <w:jc w:val="center"/>
        </w:trPr>
        <w:tc>
          <w:tcPr>
            <w:tcW w:w="976" w:type="dxa"/>
            <w:noWrap/>
            <w:hideMark/>
          </w:tcPr>
          <w:p w14:paraId="6C12B368"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731</w:t>
            </w:r>
          </w:p>
        </w:tc>
        <w:tc>
          <w:tcPr>
            <w:tcW w:w="5236" w:type="dxa"/>
            <w:noWrap/>
            <w:hideMark/>
          </w:tcPr>
          <w:p w14:paraId="2479921F"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TOOLS TO REMOVE MATERIAL</w:t>
            </w:r>
          </w:p>
        </w:tc>
        <w:tc>
          <w:tcPr>
            <w:tcW w:w="1060" w:type="dxa"/>
            <w:noWrap/>
            <w:hideMark/>
          </w:tcPr>
          <w:p w14:paraId="66E7741E"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4437CC46" w14:textId="77777777" w:rsidTr="00C77114">
        <w:trPr>
          <w:trHeight w:val="300"/>
          <w:jc w:val="center"/>
        </w:trPr>
        <w:tc>
          <w:tcPr>
            <w:tcW w:w="976" w:type="dxa"/>
            <w:noWrap/>
            <w:hideMark/>
          </w:tcPr>
          <w:p w14:paraId="413992E7"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733</w:t>
            </w:r>
          </w:p>
        </w:tc>
        <w:tc>
          <w:tcPr>
            <w:tcW w:w="5236" w:type="dxa"/>
            <w:noWrap/>
            <w:hideMark/>
          </w:tcPr>
          <w:p w14:paraId="58C58055"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METAL WORKING TOOLS NES</w:t>
            </w:r>
          </w:p>
        </w:tc>
        <w:tc>
          <w:tcPr>
            <w:tcW w:w="1060" w:type="dxa"/>
            <w:noWrap/>
            <w:hideMark/>
          </w:tcPr>
          <w:p w14:paraId="2BD9239B"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0%</w:t>
            </w:r>
          </w:p>
        </w:tc>
      </w:tr>
      <w:tr w:rsidR="009E1D85" w:rsidRPr="00D067D4" w14:paraId="2FCA1142" w14:textId="77777777" w:rsidTr="00C77114">
        <w:trPr>
          <w:trHeight w:val="300"/>
          <w:jc w:val="center"/>
        </w:trPr>
        <w:tc>
          <w:tcPr>
            <w:tcW w:w="976" w:type="dxa"/>
            <w:noWrap/>
            <w:hideMark/>
          </w:tcPr>
          <w:p w14:paraId="2BA4608A"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735</w:t>
            </w:r>
          </w:p>
        </w:tc>
        <w:tc>
          <w:tcPr>
            <w:tcW w:w="5236" w:type="dxa"/>
            <w:noWrap/>
            <w:hideMark/>
          </w:tcPr>
          <w:p w14:paraId="5C185011"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PARTS FOR MACHINE TOOLS</w:t>
            </w:r>
          </w:p>
        </w:tc>
        <w:tc>
          <w:tcPr>
            <w:tcW w:w="1060" w:type="dxa"/>
            <w:noWrap/>
            <w:hideMark/>
          </w:tcPr>
          <w:p w14:paraId="2BC49663"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0%</w:t>
            </w:r>
          </w:p>
        </w:tc>
      </w:tr>
      <w:tr w:rsidR="009E1D85" w:rsidRPr="00D067D4" w14:paraId="10310E4B" w14:textId="77777777" w:rsidTr="00C77114">
        <w:trPr>
          <w:trHeight w:val="300"/>
          <w:jc w:val="center"/>
        </w:trPr>
        <w:tc>
          <w:tcPr>
            <w:tcW w:w="976" w:type="dxa"/>
            <w:noWrap/>
            <w:hideMark/>
          </w:tcPr>
          <w:p w14:paraId="7604DAC7"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737</w:t>
            </w:r>
          </w:p>
        </w:tc>
        <w:tc>
          <w:tcPr>
            <w:tcW w:w="5236" w:type="dxa"/>
            <w:noWrap/>
            <w:hideMark/>
          </w:tcPr>
          <w:p w14:paraId="334A0146"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METAL WORKING MACHINERY</w:t>
            </w:r>
          </w:p>
        </w:tc>
        <w:tc>
          <w:tcPr>
            <w:tcW w:w="1060" w:type="dxa"/>
            <w:noWrap/>
            <w:hideMark/>
          </w:tcPr>
          <w:p w14:paraId="391FB35F"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100%</w:t>
            </w:r>
          </w:p>
        </w:tc>
      </w:tr>
      <w:tr w:rsidR="009E1D85" w:rsidRPr="00D067D4" w14:paraId="2F336202" w14:textId="77777777" w:rsidTr="00C77114">
        <w:trPr>
          <w:trHeight w:val="300"/>
          <w:jc w:val="center"/>
        </w:trPr>
        <w:tc>
          <w:tcPr>
            <w:tcW w:w="976" w:type="dxa"/>
            <w:noWrap/>
            <w:hideMark/>
          </w:tcPr>
          <w:p w14:paraId="44FE115D"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741</w:t>
            </w:r>
          </w:p>
        </w:tc>
        <w:tc>
          <w:tcPr>
            <w:tcW w:w="5236" w:type="dxa"/>
            <w:noWrap/>
            <w:hideMark/>
          </w:tcPr>
          <w:p w14:paraId="61ECE683"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HEATING &amp; COOLING EQUIPMENT NES</w:t>
            </w:r>
          </w:p>
        </w:tc>
        <w:tc>
          <w:tcPr>
            <w:tcW w:w="1060" w:type="dxa"/>
            <w:noWrap/>
            <w:hideMark/>
          </w:tcPr>
          <w:p w14:paraId="5854259A"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070BBCBE" w14:textId="77777777" w:rsidTr="00C77114">
        <w:trPr>
          <w:trHeight w:val="300"/>
          <w:jc w:val="center"/>
        </w:trPr>
        <w:tc>
          <w:tcPr>
            <w:tcW w:w="976" w:type="dxa"/>
            <w:noWrap/>
            <w:hideMark/>
          </w:tcPr>
          <w:p w14:paraId="6143B121"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742</w:t>
            </w:r>
          </w:p>
        </w:tc>
        <w:tc>
          <w:tcPr>
            <w:tcW w:w="5236" w:type="dxa"/>
            <w:noWrap/>
            <w:hideMark/>
          </w:tcPr>
          <w:p w14:paraId="7CEF26FC"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PUMPS FOR LIQUIDS</w:t>
            </w:r>
          </w:p>
        </w:tc>
        <w:tc>
          <w:tcPr>
            <w:tcW w:w="1060" w:type="dxa"/>
            <w:noWrap/>
            <w:hideMark/>
          </w:tcPr>
          <w:p w14:paraId="7DB7963E"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61BBB9B6" w14:textId="77777777" w:rsidTr="00C77114">
        <w:trPr>
          <w:trHeight w:val="300"/>
          <w:jc w:val="center"/>
        </w:trPr>
        <w:tc>
          <w:tcPr>
            <w:tcW w:w="976" w:type="dxa"/>
            <w:noWrap/>
            <w:hideMark/>
          </w:tcPr>
          <w:p w14:paraId="68546E02"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743</w:t>
            </w:r>
          </w:p>
        </w:tc>
        <w:tc>
          <w:tcPr>
            <w:tcW w:w="5236" w:type="dxa"/>
            <w:noWrap/>
            <w:hideMark/>
          </w:tcPr>
          <w:p w14:paraId="0A0D2A48"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OTHER PUMPS</w:t>
            </w:r>
          </w:p>
        </w:tc>
        <w:tc>
          <w:tcPr>
            <w:tcW w:w="1060" w:type="dxa"/>
            <w:noWrap/>
            <w:hideMark/>
          </w:tcPr>
          <w:p w14:paraId="361BC0AF"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2D80BE6A" w14:textId="77777777" w:rsidTr="00C77114">
        <w:trPr>
          <w:trHeight w:val="300"/>
          <w:jc w:val="center"/>
        </w:trPr>
        <w:tc>
          <w:tcPr>
            <w:tcW w:w="976" w:type="dxa"/>
            <w:noWrap/>
            <w:hideMark/>
          </w:tcPr>
          <w:p w14:paraId="79D06789"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744</w:t>
            </w:r>
          </w:p>
        </w:tc>
        <w:tc>
          <w:tcPr>
            <w:tcW w:w="5236" w:type="dxa"/>
            <w:noWrap/>
            <w:hideMark/>
          </w:tcPr>
          <w:p w14:paraId="4B20EC9A" w14:textId="759124F7" w:rsidR="0017721D" w:rsidRPr="00D067D4" w:rsidRDefault="004E1ED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MECHANICAL HANDLING</w:t>
            </w:r>
            <w:r w:rsidR="0017721D" w:rsidRPr="00D067D4">
              <w:rPr>
                <w:rFonts w:ascii="Times New Roman" w:eastAsia="Times New Roman" w:hAnsi="Times New Roman" w:cs="Times New Roman"/>
                <w:bCs/>
                <w:sz w:val="24"/>
                <w:szCs w:val="24"/>
              </w:rPr>
              <w:t xml:space="preserve"> EQUIPMENT &amp; PARTS</w:t>
            </w:r>
          </w:p>
        </w:tc>
        <w:tc>
          <w:tcPr>
            <w:tcW w:w="1060" w:type="dxa"/>
            <w:noWrap/>
            <w:hideMark/>
          </w:tcPr>
          <w:p w14:paraId="4921B745"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21BACB40" w14:textId="77777777" w:rsidTr="00C77114">
        <w:trPr>
          <w:trHeight w:val="300"/>
          <w:jc w:val="center"/>
        </w:trPr>
        <w:tc>
          <w:tcPr>
            <w:tcW w:w="976" w:type="dxa"/>
            <w:noWrap/>
            <w:hideMark/>
          </w:tcPr>
          <w:p w14:paraId="3F15B503"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745</w:t>
            </w:r>
          </w:p>
        </w:tc>
        <w:tc>
          <w:tcPr>
            <w:tcW w:w="5236" w:type="dxa"/>
            <w:noWrap/>
            <w:hideMark/>
          </w:tcPr>
          <w:p w14:paraId="3ECDF906" w14:textId="1FAE3BE3"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OTHER NON-</w:t>
            </w:r>
            <w:r w:rsidR="004E1EDD" w:rsidRPr="00D067D4">
              <w:rPr>
                <w:rFonts w:ascii="Times New Roman" w:eastAsia="Times New Roman" w:hAnsi="Times New Roman" w:cs="Times New Roman"/>
                <w:bCs/>
                <w:sz w:val="24"/>
                <w:szCs w:val="24"/>
              </w:rPr>
              <w:t>ELECTRICAL MACHINERY</w:t>
            </w:r>
            <w:r w:rsidRPr="00D067D4">
              <w:rPr>
                <w:rFonts w:ascii="Times New Roman" w:eastAsia="Times New Roman" w:hAnsi="Times New Roman" w:cs="Times New Roman"/>
                <w:bCs/>
                <w:sz w:val="24"/>
                <w:szCs w:val="24"/>
              </w:rPr>
              <w:t xml:space="preserve"> &amp; TOOLS</w:t>
            </w:r>
          </w:p>
        </w:tc>
        <w:tc>
          <w:tcPr>
            <w:tcW w:w="1060" w:type="dxa"/>
            <w:noWrap/>
            <w:hideMark/>
          </w:tcPr>
          <w:p w14:paraId="7ED73936"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50%</w:t>
            </w:r>
          </w:p>
        </w:tc>
      </w:tr>
      <w:tr w:rsidR="009E1D85" w:rsidRPr="00D067D4" w14:paraId="00E4F9CE" w14:textId="77777777" w:rsidTr="00C77114">
        <w:trPr>
          <w:trHeight w:val="300"/>
          <w:jc w:val="center"/>
        </w:trPr>
        <w:tc>
          <w:tcPr>
            <w:tcW w:w="976" w:type="dxa"/>
            <w:noWrap/>
            <w:hideMark/>
          </w:tcPr>
          <w:p w14:paraId="161408D4"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746</w:t>
            </w:r>
          </w:p>
        </w:tc>
        <w:tc>
          <w:tcPr>
            <w:tcW w:w="5236" w:type="dxa"/>
            <w:noWrap/>
            <w:hideMark/>
          </w:tcPr>
          <w:p w14:paraId="19A377CC"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BALL OR ROLLER BEARINGS</w:t>
            </w:r>
          </w:p>
        </w:tc>
        <w:tc>
          <w:tcPr>
            <w:tcW w:w="1060" w:type="dxa"/>
            <w:noWrap/>
            <w:hideMark/>
          </w:tcPr>
          <w:p w14:paraId="2F378B3A"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0%</w:t>
            </w:r>
          </w:p>
        </w:tc>
      </w:tr>
      <w:tr w:rsidR="009E1D85" w:rsidRPr="00D067D4" w14:paraId="7C93F0BE" w14:textId="77777777" w:rsidTr="00C77114">
        <w:trPr>
          <w:trHeight w:val="300"/>
          <w:jc w:val="center"/>
        </w:trPr>
        <w:tc>
          <w:tcPr>
            <w:tcW w:w="976" w:type="dxa"/>
            <w:noWrap/>
            <w:hideMark/>
          </w:tcPr>
          <w:p w14:paraId="6B4FFD1E"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747</w:t>
            </w:r>
          </w:p>
        </w:tc>
        <w:tc>
          <w:tcPr>
            <w:tcW w:w="5236" w:type="dxa"/>
            <w:noWrap/>
            <w:hideMark/>
          </w:tcPr>
          <w:p w14:paraId="76AE6B52"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TAPS, COCKS, VALVES ETC.</w:t>
            </w:r>
          </w:p>
        </w:tc>
        <w:tc>
          <w:tcPr>
            <w:tcW w:w="1060" w:type="dxa"/>
            <w:noWrap/>
            <w:hideMark/>
          </w:tcPr>
          <w:p w14:paraId="1C582519"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0%</w:t>
            </w:r>
          </w:p>
        </w:tc>
      </w:tr>
      <w:tr w:rsidR="009E1D85" w:rsidRPr="00D067D4" w14:paraId="6220842B" w14:textId="77777777" w:rsidTr="00C77114">
        <w:trPr>
          <w:trHeight w:val="300"/>
          <w:jc w:val="center"/>
        </w:trPr>
        <w:tc>
          <w:tcPr>
            <w:tcW w:w="976" w:type="dxa"/>
            <w:noWrap/>
            <w:hideMark/>
          </w:tcPr>
          <w:p w14:paraId="52879FDC"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748</w:t>
            </w:r>
          </w:p>
        </w:tc>
        <w:tc>
          <w:tcPr>
            <w:tcW w:w="5236" w:type="dxa"/>
            <w:noWrap/>
            <w:hideMark/>
          </w:tcPr>
          <w:p w14:paraId="380C980F"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TRANSMISSION SHAFTS, GEAR BOXES, FLYWHEELS ETC</w:t>
            </w:r>
          </w:p>
        </w:tc>
        <w:tc>
          <w:tcPr>
            <w:tcW w:w="1060" w:type="dxa"/>
            <w:noWrap/>
            <w:hideMark/>
          </w:tcPr>
          <w:p w14:paraId="563248D2"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0%</w:t>
            </w:r>
          </w:p>
        </w:tc>
      </w:tr>
      <w:tr w:rsidR="009E1D85" w:rsidRPr="00D067D4" w14:paraId="32CC0616" w14:textId="77777777" w:rsidTr="00C77114">
        <w:trPr>
          <w:trHeight w:val="300"/>
          <w:jc w:val="center"/>
        </w:trPr>
        <w:tc>
          <w:tcPr>
            <w:tcW w:w="976" w:type="dxa"/>
            <w:noWrap/>
            <w:hideMark/>
          </w:tcPr>
          <w:p w14:paraId="147B4455"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749</w:t>
            </w:r>
          </w:p>
        </w:tc>
        <w:tc>
          <w:tcPr>
            <w:tcW w:w="5236" w:type="dxa"/>
            <w:noWrap/>
            <w:hideMark/>
          </w:tcPr>
          <w:p w14:paraId="57F93B22" w14:textId="77777777" w:rsidR="0017721D" w:rsidRPr="00D067D4" w:rsidRDefault="0017721D" w:rsidP="00525147">
            <w:pPr>
              <w:keepLines/>
              <w:spacing w:line="276" w:lineRule="auto"/>
              <w:jc w:val="both"/>
              <w:rPr>
                <w:rFonts w:ascii="Times New Roman" w:eastAsia="Times New Roman" w:hAnsi="Times New Roman" w:cs="Times New Roman"/>
                <w:bCs/>
                <w:sz w:val="24"/>
                <w:szCs w:val="24"/>
              </w:rPr>
            </w:pPr>
            <w:r w:rsidRPr="00D067D4">
              <w:rPr>
                <w:rFonts w:ascii="Times New Roman" w:eastAsia="Times New Roman" w:hAnsi="Times New Roman" w:cs="Times New Roman"/>
                <w:bCs/>
                <w:sz w:val="24"/>
                <w:szCs w:val="24"/>
              </w:rPr>
              <w:t>MACHINE PARTS NES</w:t>
            </w:r>
          </w:p>
        </w:tc>
        <w:tc>
          <w:tcPr>
            <w:tcW w:w="1060" w:type="dxa"/>
            <w:noWrap/>
            <w:hideMark/>
          </w:tcPr>
          <w:p w14:paraId="0F5E616B" w14:textId="77777777" w:rsidR="0017721D" w:rsidRPr="00D067D4" w:rsidRDefault="0017721D" w:rsidP="00525147">
            <w:pPr>
              <w:keepLines/>
              <w:spacing w:line="276" w:lineRule="auto"/>
              <w:jc w:val="both"/>
              <w:rPr>
                <w:rFonts w:ascii="Times New Roman" w:eastAsia="Times New Roman" w:hAnsi="Times New Roman" w:cs="Times New Roman"/>
                <w:sz w:val="24"/>
                <w:szCs w:val="24"/>
              </w:rPr>
            </w:pPr>
            <w:r w:rsidRPr="00D067D4">
              <w:rPr>
                <w:rFonts w:ascii="Times New Roman" w:eastAsia="Times New Roman" w:hAnsi="Times New Roman" w:cs="Times New Roman"/>
                <w:sz w:val="24"/>
                <w:szCs w:val="24"/>
              </w:rPr>
              <w:t>0%</w:t>
            </w:r>
          </w:p>
        </w:tc>
      </w:tr>
    </w:tbl>
    <w:p w14:paraId="30D11A70" w14:textId="77777777" w:rsidR="00525147" w:rsidRPr="00CE167E" w:rsidRDefault="00525147" w:rsidP="00525147">
      <w:pPr>
        <w:pStyle w:val="Heading2"/>
        <w:numPr>
          <w:ilvl w:val="0"/>
          <w:numId w:val="0"/>
        </w:numPr>
        <w:spacing w:line="276" w:lineRule="auto"/>
        <w:jc w:val="both"/>
        <w:rPr>
          <w:rStyle w:val="Strong"/>
          <w:rFonts w:ascii="Times New Roman" w:hAnsi="Times New Roman" w:cs="Times New Roman"/>
          <w:color w:val="auto"/>
          <w:sz w:val="24"/>
          <w:szCs w:val="24"/>
          <w:bdr w:val="none" w:sz="0" w:space="0" w:color="auto" w:frame="1"/>
        </w:rPr>
      </w:pPr>
    </w:p>
    <w:p w14:paraId="4A3A051B" w14:textId="32F66017" w:rsidR="00B30D66" w:rsidRPr="00CE167E" w:rsidRDefault="00B30D66" w:rsidP="00525147">
      <w:pPr>
        <w:pStyle w:val="Heading2"/>
        <w:jc w:val="both"/>
        <w:rPr>
          <w:rStyle w:val="Strong"/>
          <w:rFonts w:ascii="Times New Roman" w:hAnsi="Times New Roman" w:cs="Times New Roman"/>
          <w:b w:val="0"/>
          <w:bCs w:val="0"/>
          <w:sz w:val="24"/>
          <w:szCs w:val="24"/>
        </w:rPr>
      </w:pPr>
      <w:r w:rsidRPr="00CE167E">
        <w:rPr>
          <w:rStyle w:val="Strong"/>
          <w:rFonts w:ascii="Times New Roman" w:hAnsi="Times New Roman" w:cs="Times New Roman"/>
          <w:b w:val="0"/>
          <w:bCs w:val="0"/>
          <w:sz w:val="24"/>
          <w:szCs w:val="24"/>
        </w:rPr>
        <w:t>Weapon Systems</w:t>
      </w:r>
    </w:p>
    <w:p w14:paraId="14ACF7CB" w14:textId="10A35CBB" w:rsidR="00C77114" w:rsidRPr="00CE167E" w:rsidRDefault="00AA4017"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The 1993 SNA states that destructive military weapon systems designed for combat, such as warships, fighter aircraft, and tanks, should be treated as intermediate consumption by general government rather than as fixed assets. This treatment failed to </w:t>
      </w:r>
      <w:proofErr w:type="spellStart"/>
      <w:r w:rsidRPr="00CE167E">
        <w:rPr>
          <w:rFonts w:ascii="Times New Roman" w:hAnsi="Times New Roman" w:cs="Times New Roman"/>
          <w:sz w:val="24"/>
          <w:szCs w:val="24"/>
        </w:rPr>
        <w:t>recognise</w:t>
      </w:r>
      <w:proofErr w:type="spellEnd"/>
      <w:r w:rsidRPr="00CE167E">
        <w:rPr>
          <w:rFonts w:ascii="Times New Roman" w:hAnsi="Times New Roman" w:cs="Times New Roman"/>
          <w:sz w:val="24"/>
          <w:szCs w:val="24"/>
        </w:rPr>
        <w:t xml:space="preserve"> the role of capital in the production of defence services as well as </w:t>
      </w:r>
      <w:proofErr w:type="spellStart"/>
      <w:r w:rsidRPr="00CE167E">
        <w:rPr>
          <w:rFonts w:ascii="Times New Roman" w:hAnsi="Times New Roman" w:cs="Times New Roman"/>
          <w:sz w:val="24"/>
          <w:szCs w:val="24"/>
        </w:rPr>
        <w:t>recognising</w:t>
      </w:r>
      <w:proofErr w:type="spellEnd"/>
      <w:r w:rsidRPr="00CE167E">
        <w:rPr>
          <w:rFonts w:ascii="Times New Roman" w:hAnsi="Times New Roman" w:cs="Times New Roman"/>
          <w:sz w:val="24"/>
          <w:szCs w:val="24"/>
        </w:rPr>
        <w:t xml:space="preserve"> that weapon systems provide a nation with economic benefits by protecting the liberty and property of its citizens. The 2008 SNA recommended that the classification of military weapon systems as fixed assets be based on the same criteria as other fixed assets—that is, produced assets that are themselves used repeatedly, or continuously, in processes of production for more than one year. </w:t>
      </w:r>
      <w:r w:rsidR="00E949D3" w:rsidRPr="00CE167E">
        <w:rPr>
          <w:rFonts w:ascii="Times New Roman" w:hAnsi="Times New Roman" w:cs="Times New Roman"/>
          <w:sz w:val="24"/>
          <w:szCs w:val="24"/>
        </w:rPr>
        <w:t>Therefore,</w:t>
      </w:r>
      <w:r w:rsidRPr="00CE167E">
        <w:rPr>
          <w:rFonts w:ascii="Times New Roman" w:hAnsi="Times New Roman" w:cs="Times New Roman"/>
          <w:sz w:val="24"/>
          <w:szCs w:val="24"/>
        </w:rPr>
        <w:t xml:space="preserve"> the</w:t>
      </w:r>
      <w:r w:rsidR="007A4EC5" w:rsidRPr="00CE167E">
        <w:rPr>
          <w:rFonts w:ascii="Times New Roman" w:hAnsi="Times New Roman" w:cs="Times New Roman"/>
          <w:sz w:val="24"/>
          <w:szCs w:val="24"/>
        </w:rPr>
        <w:t xml:space="preserve"> estimates in the spreadsheet </w:t>
      </w:r>
      <w:r w:rsidR="00C77114" w:rsidRPr="00CE167E">
        <w:rPr>
          <w:rFonts w:ascii="Times New Roman" w:hAnsi="Times New Roman" w:cs="Times New Roman"/>
          <w:sz w:val="24"/>
          <w:szCs w:val="24"/>
        </w:rPr>
        <w:t xml:space="preserve">are of GFCF investment in weapons consistent with the net </w:t>
      </w:r>
      <w:r w:rsidR="00E949D3" w:rsidRPr="00CE167E">
        <w:rPr>
          <w:rFonts w:ascii="Times New Roman" w:hAnsi="Times New Roman" w:cs="Times New Roman"/>
          <w:sz w:val="24"/>
          <w:szCs w:val="24"/>
        </w:rPr>
        <w:t>traded</w:t>
      </w:r>
      <w:r w:rsidR="00C77114" w:rsidRPr="00CE167E">
        <w:rPr>
          <w:rFonts w:ascii="Times New Roman" w:hAnsi="Times New Roman" w:cs="Times New Roman"/>
          <w:sz w:val="24"/>
          <w:szCs w:val="24"/>
        </w:rPr>
        <w:t xml:space="preserve"> value </w:t>
      </w:r>
      <w:r w:rsidR="00E949D3" w:rsidRPr="00CE167E">
        <w:rPr>
          <w:rFonts w:ascii="Times New Roman" w:hAnsi="Times New Roman" w:cs="Times New Roman"/>
          <w:sz w:val="24"/>
          <w:szCs w:val="24"/>
        </w:rPr>
        <w:t>applied to other components</w:t>
      </w:r>
      <w:r w:rsidR="00C77114" w:rsidRPr="00CE167E">
        <w:rPr>
          <w:rFonts w:ascii="Times New Roman" w:hAnsi="Times New Roman" w:cs="Times New Roman"/>
          <w:sz w:val="24"/>
          <w:szCs w:val="24"/>
        </w:rPr>
        <w:t xml:space="preserve"> above, total imports less total exports for these goods. </w:t>
      </w:r>
    </w:p>
    <w:p w14:paraId="66291F90" w14:textId="52ACC8E7" w:rsidR="00525147" w:rsidRPr="00CE167E" w:rsidRDefault="00525147" w:rsidP="00525147">
      <w:pPr>
        <w:keepLines/>
        <w:spacing w:line="276" w:lineRule="auto"/>
        <w:jc w:val="both"/>
        <w:rPr>
          <w:rFonts w:ascii="Times New Roman" w:hAnsi="Times New Roman" w:cs="Times New Roman"/>
          <w:sz w:val="24"/>
          <w:szCs w:val="24"/>
        </w:rPr>
      </w:pPr>
    </w:p>
    <w:p w14:paraId="3A7F8ED6" w14:textId="779FD5F9" w:rsidR="00525147" w:rsidRPr="00CE167E" w:rsidRDefault="00525147" w:rsidP="00CE167E">
      <w:pPr>
        <w:pStyle w:val="Heading2"/>
        <w:jc w:val="both"/>
        <w:rPr>
          <w:rStyle w:val="Strong"/>
          <w:rFonts w:ascii="Times New Roman" w:hAnsi="Times New Roman" w:cs="Times New Roman"/>
          <w:b w:val="0"/>
          <w:bCs w:val="0"/>
          <w:sz w:val="24"/>
          <w:szCs w:val="24"/>
        </w:rPr>
      </w:pPr>
      <w:r w:rsidRPr="00CE167E">
        <w:rPr>
          <w:rStyle w:val="Strong"/>
          <w:rFonts w:ascii="Times New Roman" w:hAnsi="Times New Roman" w:cs="Times New Roman"/>
          <w:b w:val="0"/>
          <w:bCs w:val="0"/>
          <w:sz w:val="24"/>
          <w:szCs w:val="24"/>
        </w:rPr>
        <w:t>Cultivated Biological Assets</w:t>
      </w:r>
    </w:p>
    <w:p w14:paraId="49E0B987" w14:textId="3F48EAB5" w:rsidR="00C25527" w:rsidRPr="00CE167E" w:rsidRDefault="00C25527" w:rsidP="00C2552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Nil </w:t>
      </w:r>
    </w:p>
    <w:p w14:paraId="49A42DD8" w14:textId="77777777" w:rsidR="00525147" w:rsidRPr="00CE167E" w:rsidRDefault="00525147" w:rsidP="00525147">
      <w:pPr>
        <w:keepLines/>
        <w:spacing w:line="276" w:lineRule="auto"/>
        <w:jc w:val="both"/>
        <w:rPr>
          <w:rFonts w:ascii="Times New Roman" w:hAnsi="Times New Roman" w:cs="Times New Roman"/>
          <w:sz w:val="24"/>
          <w:szCs w:val="24"/>
        </w:rPr>
      </w:pPr>
    </w:p>
    <w:p w14:paraId="00BD3CF5" w14:textId="4F1857E9" w:rsidR="00C77114" w:rsidRPr="00CE167E" w:rsidRDefault="00C77114" w:rsidP="00CE167E">
      <w:pPr>
        <w:pStyle w:val="Heading2"/>
        <w:jc w:val="both"/>
        <w:rPr>
          <w:rStyle w:val="Strong"/>
          <w:rFonts w:ascii="Times New Roman" w:hAnsi="Times New Roman" w:cs="Times New Roman"/>
          <w:b w:val="0"/>
          <w:bCs w:val="0"/>
          <w:sz w:val="24"/>
          <w:szCs w:val="24"/>
        </w:rPr>
      </w:pPr>
      <w:r w:rsidRPr="00CE167E">
        <w:rPr>
          <w:rStyle w:val="Strong"/>
          <w:rFonts w:ascii="Times New Roman" w:hAnsi="Times New Roman" w:cs="Times New Roman"/>
          <w:b w:val="0"/>
          <w:bCs w:val="0"/>
          <w:sz w:val="24"/>
          <w:szCs w:val="24"/>
        </w:rPr>
        <w:lastRenderedPageBreak/>
        <w:t>Cost of Ownership Transfer on Non-produced Assets</w:t>
      </w:r>
    </w:p>
    <w:p w14:paraId="0CDCA6BE" w14:textId="3856A188" w:rsidR="00B30D66" w:rsidRPr="00CE167E" w:rsidRDefault="00E949D3"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To account for some level of ownership transfers within the economy for the periods outline, an estimate of </w:t>
      </w:r>
      <w:r w:rsidR="009E1D85" w:rsidRPr="00CE167E">
        <w:rPr>
          <w:rFonts w:ascii="Times New Roman" w:hAnsi="Times New Roman" w:cs="Times New Roman"/>
          <w:sz w:val="24"/>
          <w:szCs w:val="24"/>
        </w:rPr>
        <w:t xml:space="preserve">costs associated with transferring, acquiring and disposing non-financial assets were allocated to GFCF. In Trinidad and Tobago, Stamp Duty is a tax that you must pay when carrying out certain transactions that require legal documents.  Deeds of Conveyance, Deeds of Gift, Deeds of Mortgage, Release of Mortgage Loan, Release of Life Insurance Policies, Transfer of Shares, Deeds of Lease, Deed Polls, Bonds, and any other deeds, require “stamping”, which means you must pay duty. Residents transacting business in real estate, acquiring shares, seeking a mortgage, or conducting other financial transactions are required to pay such duties. </w:t>
      </w:r>
    </w:p>
    <w:p w14:paraId="6E7FB83E" w14:textId="76B8705E" w:rsidR="009E1D85" w:rsidRPr="00CE167E" w:rsidRDefault="009E1D85"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This unadjusted tax value</w:t>
      </w:r>
      <w:r w:rsidR="00550D45" w:rsidRPr="00CE167E">
        <w:rPr>
          <w:rFonts w:ascii="Times New Roman" w:hAnsi="Times New Roman" w:cs="Times New Roman"/>
          <w:sz w:val="24"/>
          <w:szCs w:val="24"/>
        </w:rPr>
        <w:t>s</w:t>
      </w:r>
      <w:r w:rsidRPr="00CE167E">
        <w:rPr>
          <w:rFonts w:ascii="Times New Roman" w:hAnsi="Times New Roman" w:cs="Times New Roman"/>
          <w:sz w:val="24"/>
          <w:szCs w:val="24"/>
        </w:rPr>
        <w:t xml:space="preserve"> reported </w:t>
      </w:r>
      <w:r w:rsidR="00395F05" w:rsidRPr="00CE167E">
        <w:rPr>
          <w:rFonts w:ascii="Times New Roman" w:hAnsi="Times New Roman" w:cs="Times New Roman"/>
          <w:sz w:val="24"/>
          <w:szCs w:val="24"/>
        </w:rPr>
        <w:t>in revenue</w:t>
      </w:r>
      <w:r w:rsidR="00550D45" w:rsidRPr="00CE167E">
        <w:rPr>
          <w:rFonts w:ascii="Times New Roman" w:hAnsi="Times New Roman" w:cs="Times New Roman"/>
          <w:sz w:val="24"/>
          <w:szCs w:val="24"/>
        </w:rPr>
        <w:t xml:space="preserve"> </w:t>
      </w:r>
      <w:r w:rsidRPr="00CE167E">
        <w:rPr>
          <w:rFonts w:ascii="Times New Roman" w:hAnsi="Times New Roman" w:cs="Times New Roman"/>
          <w:sz w:val="24"/>
          <w:szCs w:val="24"/>
        </w:rPr>
        <w:t xml:space="preserve">collections for the fiscal year </w:t>
      </w:r>
      <w:r w:rsidR="00550D45" w:rsidRPr="00CE167E">
        <w:rPr>
          <w:rFonts w:ascii="Times New Roman" w:hAnsi="Times New Roman" w:cs="Times New Roman"/>
          <w:sz w:val="24"/>
          <w:szCs w:val="24"/>
        </w:rPr>
        <w:t xml:space="preserve">(100%) </w:t>
      </w:r>
      <w:r w:rsidRPr="00CE167E">
        <w:rPr>
          <w:rFonts w:ascii="Times New Roman" w:hAnsi="Times New Roman" w:cs="Times New Roman"/>
          <w:sz w:val="24"/>
          <w:szCs w:val="24"/>
        </w:rPr>
        <w:t>w</w:t>
      </w:r>
      <w:r w:rsidR="00550D45" w:rsidRPr="00CE167E">
        <w:rPr>
          <w:rFonts w:ascii="Times New Roman" w:hAnsi="Times New Roman" w:cs="Times New Roman"/>
          <w:sz w:val="24"/>
          <w:szCs w:val="24"/>
        </w:rPr>
        <w:t>ere</w:t>
      </w:r>
      <w:r w:rsidRPr="00CE167E">
        <w:rPr>
          <w:rFonts w:ascii="Times New Roman" w:hAnsi="Times New Roman" w:cs="Times New Roman"/>
          <w:sz w:val="24"/>
          <w:szCs w:val="24"/>
        </w:rPr>
        <w:t xml:space="preserve"> taken as an estimate</w:t>
      </w:r>
      <w:r w:rsidR="00550D45" w:rsidRPr="00CE167E">
        <w:rPr>
          <w:rFonts w:ascii="Times New Roman" w:hAnsi="Times New Roman" w:cs="Times New Roman"/>
          <w:sz w:val="24"/>
          <w:szCs w:val="24"/>
        </w:rPr>
        <w:t xml:space="preserve"> </w:t>
      </w:r>
      <w:r w:rsidRPr="00CE167E">
        <w:rPr>
          <w:rFonts w:ascii="Times New Roman" w:hAnsi="Times New Roman" w:cs="Times New Roman"/>
          <w:sz w:val="24"/>
          <w:szCs w:val="24"/>
        </w:rPr>
        <w:t>of this component of the GFCF.</w:t>
      </w:r>
      <w:r w:rsidR="00550D45" w:rsidRPr="00CE167E">
        <w:rPr>
          <w:rFonts w:ascii="Times New Roman" w:hAnsi="Times New Roman" w:cs="Times New Roman"/>
          <w:sz w:val="24"/>
          <w:szCs w:val="24"/>
        </w:rPr>
        <w:t xml:space="preserve"> </w:t>
      </w:r>
    </w:p>
    <w:p w14:paraId="1CBBAA7B" w14:textId="6687EC8D" w:rsidR="00395F05" w:rsidRPr="00CE167E" w:rsidRDefault="00395F05" w:rsidP="00CE167E">
      <w:pPr>
        <w:pStyle w:val="Heading2"/>
        <w:numPr>
          <w:ilvl w:val="0"/>
          <w:numId w:val="0"/>
        </w:numPr>
        <w:ind w:left="720"/>
        <w:jc w:val="both"/>
        <w:rPr>
          <w:rStyle w:val="Strong"/>
        </w:rPr>
      </w:pPr>
    </w:p>
    <w:p w14:paraId="5B9702BA" w14:textId="371FF2A6" w:rsidR="00395F05" w:rsidRPr="00CE167E" w:rsidRDefault="00395F05" w:rsidP="00CE167E">
      <w:pPr>
        <w:pStyle w:val="Heading2"/>
        <w:jc w:val="both"/>
        <w:rPr>
          <w:rStyle w:val="Strong"/>
          <w:rFonts w:ascii="Times New Roman" w:hAnsi="Times New Roman" w:cs="Times New Roman"/>
          <w:b w:val="0"/>
          <w:bCs w:val="0"/>
          <w:sz w:val="24"/>
          <w:szCs w:val="24"/>
        </w:rPr>
      </w:pPr>
      <w:r w:rsidRPr="00CE167E">
        <w:rPr>
          <w:rStyle w:val="Strong"/>
          <w:rFonts w:ascii="Times New Roman" w:hAnsi="Times New Roman" w:cs="Times New Roman"/>
          <w:b w:val="0"/>
          <w:bCs w:val="0"/>
          <w:sz w:val="24"/>
          <w:szCs w:val="24"/>
        </w:rPr>
        <w:t>Intellectual Property Products</w:t>
      </w:r>
      <w:r w:rsidR="00DF1DCF">
        <w:rPr>
          <w:rStyle w:val="Strong"/>
          <w:rFonts w:ascii="Times New Roman" w:hAnsi="Times New Roman" w:cs="Times New Roman"/>
          <w:b w:val="0"/>
          <w:bCs w:val="0"/>
          <w:sz w:val="24"/>
          <w:szCs w:val="24"/>
        </w:rPr>
        <w:t xml:space="preserve"> (IPP)</w:t>
      </w:r>
    </w:p>
    <w:p w14:paraId="238D9CD2" w14:textId="337F48D5" w:rsidR="00186F33" w:rsidRPr="00CE167E" w:rsidRDefault="00395F05"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The key characteristics that, in many ways, differentiate IPP products from other goods and services are that they: are typically one-off (unique) but reproducible are often produced on own-account</w:t>
      </w:r>
      <w:r w:rsidR="00186F33" w:rsidRPr="00CE167E">
        <w:rPr>
          <w:rFonts w:ascii="Times New Roman" w:hAnsi="Times New Roman" w:cs="Times New Roman"/>
          <w:sz w:val="24"/>
          <w:szCs w:val="24"/>
        </w:rPr>
        <w:t xml:space="preserve">; </w:t>
      </w:r>
      <w:r w:rsidRPr="00CE167E">
        <w:rPr>
          <w:rFonts w:ascii="Times New Roman" w:hAnsi="Times New Roman" w:cs="Times New Roman"/>
          <w:sz w:val="24"/>
          <w:szCs w:val="24"/>
        </w:rPr>
        <w:t>are not subject to wear and tear like conventional assets</w:t>
      </w:r>
      <w:r w:rsidR="00186F33" w:rsidRPr="00CE167E">
        <w:rPr>
          <w:rFonts w:ascii="Times New Roman" w:hAnsi="Times New Roman" w:cs="Times New Roman"/>
          <w:sz w:val="24"/>
          <w:szCs w:val="24"/>
        </w:rPr>
        <w:t>;</w:t>
      </w:r>
      <w:r w:rsidRPr="00CE167E">
        <w:rPr>
          <w:rFonts w:ascii="Times New Roman" w:hAnsi="Times New Roman" w:cs="Times New Roman"/>
          <w:sz w:val="24"/>
          <w:szCs w:val="24"/>
        </w:rPr>
        <w:t xml:space="preserve"> and can be readily reproduced with minimal physical production costs.</w:t>
      </w:r>
      <w:r w:rsidR="00186F33" w:rsidRPr="00CE167E">
        <w:rPr>
          <w:rFonts w:ascii="Times New Roman" w:hAnsi="Times New Roman" w:cs="Times New Roman"/>
          <w:sz w:val="24"/>
          <w:szCs w:val="24"/>
        </w:rPr>
        <w:t xml:space="preserve"> The IPP created as a result of mineral exploration and production is a major component of IPP available to the T&amp;T economy. </w:t>
      </w:r>
    </w:p>
    <w:p w14:paraId="63A863BA" w14:textId="2F21036D" w:rsidR="00186F33" w:rsidRDefault="00186F33"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An E&amp;P </w:t>
      </w:r>
      <w:proofErr w:type="spellStart"/>
      <w:r w:rsidRPr="00CE167E">
        <w:rPr>
          <w:rFonts w:ascii="Times New Roman" w:hAnsi="Times New Roman" w:cs="Times New Roman"/>
          <w:sz w:val="24"/>
          <w:szCs w:val="24"/>
        </w:rPr>
        <w:t>Licence</w:t>
      </w:r>
      <w:proofErr w:type="spellEnd"/>
      <w:r w:rsidRPr="00CE167E">
        <w:rPr>
          <w:rFonts w:ascii="Times New Roman" w:hAnsi="Times New Roman" w:cs="Times New Roman"/>
          <w:sz w:val="24"/>
          <w:szCs w:val="24"/>
        </w:rPr>
        <w:t xml:space="preserve"> confers the exclusive right to prospect for and dispose of petroleum in the licensed area. PSCs give similar exclusive rights in respect of a defined contract area. Neither confer ownership of any petroleum in strata. Exploration </w:t>
      </w:r>
      <w:r w:rsidR="00DF1DCF" w:rsidRPr="00CE167E">
        <w:rPr>
          <w:rFonts w:ascii="Times New Roman" w:hAnsi="Times New Roman" w:cs="Times New Roman"/>
          <w:sz w:val="24"/>
          <w:szCs w:val="24"/>
        </w:rPr>
        <w:t>licenses</w:t>
      </w:r>
      <w:r w:rsidRPr="00CE167E">
        <w:rPr>
          <w:rFonts w:ascii="Times New Roman" w:hAnsi="Times New Roman" w:cs="Times New Roman"/>
          <w:sz w:val="24"/>
          <w:szCs w:val="24"/>
        </w:rPr>
        <w:t xml:space="preserve"> give a non-exclusive right to explore within the licensed area and are now </w:t>
      </w:r>
      <w:r w:rsidR="00DF1DCF" w:rsidRPr="00CE167E">
        <w:rPr>
          <w:rFonts w:ascii="Times New Roman" w:hAnsi="Times New Roman" w:cs="Times New Roman"/>
          <w:sz w:val="24"/>
          <w:szCs w:val="24"/>
        </w:rPr>
        <w:t>infrequently</w:t>
      </w:r>
      <w:r w:rsidRPr="00CE167E">
        <w:rPr>
          <w:rFonts w:ascii="Times New Roman" w:hAnsi="Times New Roman" w:cs="Times New Roman"/>
          <w:sz w:val="24"/>
          <w:szCs w:val="24"/>
        </w:rPr>
        <w:t xml:space="preserve"> issued. (</w:t>
      </w:r>
      <w:hyperlink r:id="rId9" w:history="1">
        <w:r w:rsidRPr="00CE167E">
          <w:rPr>
            <w:rFonts w:ascii="Times New Roman" w:hAnsi="Times New Roman" w:cs="Times New Roman"/>
            <w:sz w:val="24"/>
            <w:szCs w:val="24"/>
          </w:rPr>
          <w:t>Fitzwilliam Stone Furness-Smith &amp; Morgan</w:t>
        </w:r>
      </w:hyperlink>
      <w:r w:rsidRPr="00CE167E">
        <w:rPr>
          <w:rFonts w:ascii="Times New Roman" w:hAnsi="Times New Roman" w:cs="Times New Roman"/>
          <w:sz w:val="24"/>
          <w:szCs w:val="24"/>
        </w:rPr>
        <w:t>)</w:t>
      </w:r>
      <w:r w:rsidR="00F502EF">
        <w:rPr>
          <w:rFonts w:ascii="Times New Roman" w:hAnsi="Times New Roman" w:cs="Times New Roman"/>
          <w:sz w:val="24"/>
          <w:szCs w:val="24"/>
        </w:rPr>
        <w:t xml:space="preserve">. </w:t>
      </w:r>
      <w:bookmarkStart w:id="0" w:name="_GoBack"/>
      <w:bookmarkEnd w:id="0"/>
    </w:p>
    <w:p w14:paraId="3F7A0E27" w14:textId="1B94503B" w:rsidR="00CE167E" w:rsidRDefault="00CE167E" w:rsidP="00525147">
      <w:pPr>
        <w:keepLines/>
        <w:spacing w:line="276" w:lineRule="auto"/>
        <w:jc w:val="both"/>
        <w:rPr>
          <w:rFonts w:ascii="Times New Roman" w:hAnsi="Times New Roman" w:cs="Times New Roman"/>
          <w:sz w:val="24"/>
          <w:szCs w:val="24"/>
        </w:rPr>
      </w:pPr>
      <w:r>
        <w:rPr>
          <w:rFonts w:ascii="Times New Roman" w:hAnsi="Times New Roman" w:cs="Times New Roman"/>
          <w:sz w:val="24"/>
          <w:szCs w:val="24"/>
        </w:rPr>
        <w:t>Wholesale and Retail Trade Margins to derive Purchasers Price</w:t>
      </w:r>
    </w:p>
    <w:p w14:paraId="487DC250" w14:textId="590AB430" w:rsidR="00CE167E" w:rsidRDefault="00CE167E" w:rsidP="00525147">
      <w:pPr>
        <w:keepLines/>
        <w:spacing w:line="276" w:lineRule="auto"/>
        <w:jc w:val="both"/>
        <w:rPr>
          <w:rFonts w:ascii="Times New Roman" w:hAnsi="Times New Roman" w:cs="Times New Roman"/>
          <w:sz w:val="24"/>
          <w:szCs w:val="24"/>
        </w:rPr>
      </w:pPr>
      <w:r>
        <w:rPr>
          <w:rFonts w:ascii="Times New Roman" w:hAnsi="Times New Roman" w:cs="Times New Roman"/>
          <w:sz w:val="24"/>
          <w:szCs w:val="24"/>
        </w:rPr>
        <w:t>The values extracted from the data on imports and exports are adjusted by adding a trade margin to derive an estimate of purchasers prices of items imported and sold to domestic residents as fixed capital.</w:t>
      </w:r>
    </w:p>
    <w:p w14:paraId="37F54FFF" w14:textId="4E8C1FCD" w:rsidR="00CE167E" w:rsidRDefault="00CE167E" w:rsidP="00525147">
      <w:pPr>
        <w:keepLines/>
        <w:spacing w:line="276" w:lineRule="auto"/>
        <w:jc w:val="both"/>
        <w:rPr>
          <w:rFonts w:ascii="Times New Roman" w:hAnsi="Times New Roman" w:cs="Times New Roman"/>
          <w:sz w:val="24"/>
          <w:szCs w:val="24"/>
        </w:rPr>
      </w:pPr>
      <w:r>
        <w:rPr>
          <w:rFonts w:ascii="Times New Roman" w:hAnsi="Times New Roman" w:cs="Times New Roman"/>
          <w:sz w:val="24"/>
          <w:szCs w:val="24"/>
        </w:rPr>
        <w:t>The following margin rates were applied to items accordingly:</w:t>
      </w:r>
    </w:p>
    <w:tbl>
      <w:tblPr>
        <w:tblStyle w:val="TableGrid"/>
        <w:tblW w:w="0" w:type="auto"/>
        <w:jc w:val="center"/>
        <w:tblLook w:val="04A0" w:firstRow="1" w:lastRow="0" w:firstColumn="1" w:lastColumn="0" w:noHBand="0" w:noVBand="1"/>
      </w:tblPr>
      <w:tblGrid>
        <w:gridCol w:w="3756"/>
        <w:gridCol w:w="1096"/>
      </w:tblGrid>
      <w:tr w:rsidR="00CE167E" w:rsidRPr="00D067D4" w14:paraId="2F018947" w14:textId="77777777" w:rsidTr="00CE167E">
        <w:trPr>
          <w:trHeight w:val="300"/>
          <w:jc w:val="center"/>
        </w:trPr>
        <w:tc>
          <w:tcPr>
            <w:tcW w:w="3756" w:type="dxa"/>
            <w:noWrap/>
          </w:tcPr>
          <w:p w14:paraId="4A5AC39A" w14:textId="68FC2482" w:rsidR="00CE167E" w:rsidRPr="00D067D4" w:rsidRDefault="00CE167E" w:rsidP="00CE167E">
            <w:pPr>
              <w:keepLines/>
              <w:spacing w:line="276" w:lineRule="auto"/>
              <w:jc w:val="both"/>
              <w:rPr>
                <w:rFonts w:ascii="Times New Roman" w:hAnsi="Times New Roman" w:cs="Times New Roman"/>
                <w:b/>
                <w:bCs/>
                <w:iCs/>
                <w:sz w:val="24"/>
                <w:szCs w:val="24"/>
              </w:rPr>
            </w:pPr>
            <w:r w:rsidRPr="00D067D4">
              <w:rPr>
                <w:rFonts w:ascii="Times New Roman" w:hAnsi="Times New Roman" w:cs="Times New Roman"/>
                <w:b/>
                <w:bCs/>
                <w:iCs/>
                <w:sz w:val="24"/>
                <w:szCs w:val="24"/>
              </w:rPr>
              <w:t>Goods</w:t>
            </w:r>
          </w:p>
        </w:tc>
        <w:tc>
          <w:tcPr>
            <w:tcW w:w="1096" w:type="dxa"/>
            <w:noWrap/>
          </w:tcPr>
          <w:p w14:paraId="170ED4AC" w14:textId="41C3B09F" w:rsidR="00CE167E" w:rsidRPr="00D067D4" w:rsidRDefault="00CE167E" w:rsidP="00CE167E">
            <w:pPr>
              <w:keepLines/>
              <w:spacing w:line="276" w:lineRule="auto"/>
              <w:jc w:val="both"/>
              <w:rPr>
                <w:rFonts w:ascii="Times New Roman" w:hAnsi="Times New Roman" w:cs="Times New Roman"/>
                <w:b/>
                <w:bCs/>
                <w:iCs/>
                <w:sz w:val="24"/>
                <w:szCs w:val="24"/>
              </w:rPr>
            </w:pPr>
            <w:r w:rsidRPr="00D067D4">
              <w:rPr>
                <w:rFonts w:ascii="Times New Roman" w:hAnsi="Times New Roman" w:cs="Times New Roman"/>
                <w:b/>
                <w:bCs/>
                <w:iCs/>
                <w:sz w:val="24"/>
                <w:szCs w:val="24"/>
              </w:rPr>
              <w:t>Margin Rate</w:t>
            </w:r>
          </w:p>
        </w:tc>
      </w:tr>
      <w:tr w:rsidR="00CE167E" w:rsidRPr="00CE167E" w14:paraId="2EE8A0D0" w14:textId="77777777" w:rsidTr="00CE167E">
        <w:trPr>
          <w:trHeight w:val="300"/>
          <w:jc w:val="center"/>
        </w:trPr>
        <w:tc>
          <w:tcPr>
            <w:tcW w:w="3756" w:type="dxa"/>
            <w:noWrap/>
            <w:hideMark/>
          </w:tcPr>
          <w:p w14:paraId="535A8194" w14:textId="77777777" w:rsidR="00CE167E" w:rsidRPr="00CE167E" w:rsidRDefault="00CE167E" w:rsidP="00B4696F">
            <w:pPr>
              <w:keepLines/>
              <w:spacing w:line="276" w:lineRule="auto"/>
              <w:jc w:val="both"/>
              <w:rPr>
                <w:rFonts w:ascii="Times New Roman" w:hAnsi="Times New Roman" w:cs="Times New Roman"/>
                <w:b/>
                <w:bCs/>
                <w:i/>
                <w:iCs/>
                <w:sz w:val="24"/>
                <w:szCs w:val="24"/>
              </w:rPr>
            </w:pPr>
            <w:r w:rsidRPr="00CE167E">
              <w:rPr>
                <w:rFonts w:ascii="Times New Roman" w:hAnsi="Times New Roman" w:cs="Times New Roman"/>
                <w:b/>
                <w:bCs/>
                <w:i/>
                <w:iCs/>
                <w:sz w:val="24"/>
                <w:szCs w:val="24"/>
              </w:rPr>
              <w:t>Machinery and Equipment</w:t>
            </w:r>
          </w:p>
        </w:tc>
        <w:tc>
          <w:tcPr>
            <w:tcW w:w="1096" w:type="dxa"/>
            <w:noWrap/>
            <w:hideMark/>
          </w:tcPr>
          <w:p w14:paraId="5229F6A9" w14:textId="77777777" w:rsidR="00CE167E" w:rsidRPr="00CE167E" w:rsidRDefault="00CE167E" w:rsidP="00B4696F">
            <w:pPr>
              <w:keepLines/>
              <w:spacing w:line="276" w:lineRule="auto"/>
              <w:jc w:val="both"/>
              <w:rPr>
                <w:rFonts w:ascii="Times New Roman" w:hAnsi="Times New Roman" w:cs="Times New Roman"/>
                <w:b/>
                <w:bCs/>
                <w:i/>
                <w:iCs/>
                <w:sz w:val="24"/>
                <w:szCs w:val="24"/>
              </w:rPr>
            </w:pPr>
          </w:p>
        </w:tc>
      </w:tr>
      <w:tr w:rsidR="00CE167E" w:rsidRPr="00CE167E" w14:paraId="7DE7E009" w14:textId="77777777" w:rsidTr="00CE167E">
        <w:trPr>
          <w:trHeight w:val="300"/>
          <w:jc w:val="center"/>
        </w:trPr>
        <w:tc>
          <w:tcPr>
            <w:tcW w:w="3756" w:type="dxa"/>
            <w:noWrap/>
            <w:hideMark/>
          </w:tcPr>
          <w:p w14:paraId="0A031C48" w14:textId="77777777" w:rsidR="00CE167E" w:rsidRPr="00CE167E" w:rsidRDefault="00CE167E" w:rsidP="00CE167E">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  Transport equipment</w:t>
            </w:r>
          </w:p>
        </w:tc>
        <w:tc>
          <w:tcPr>
            <w:tcW w:w="1096" w:type="dxa"/>
            <w:noWrap/>
            <w:hideMark/>
          </w:tcPr>
          <w:p w14:paraId="3460BAB7" w14:textId="77777777" w:rsidR="00CE167E" w:rsidRPr="00CE167E" w:rsidRDefault="00CE167E" w:rsidP="00CE167E">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27%</w:t>
            </w:r>
          </w:p>
        </w:tc>
      </w:tr>
      <w:tr w:rsidR="00CE167E" w:rsidRPr="00CE167E" w14:paraId="6401A9F5" w14:textId="77777777" w:rsidTr="00CE167E">
        <w:trPr>
          <w:trHeight w:val="300"/>
          <w:jc w:val="center"/>
        </w:trPr>
        <w:tc>
          <w:tcPr>
            <w:tcW w:w="3756" w:type="dxa"/>
            <w:noWrap/>
            <w:hideMark/>
          </w:tcPr>
          <w:p w14:paraId="438AA624" w14:textId="77777777" w:rsidR="00CE167E" w:rsidRPr="00CE167E" w:rsidRDefault="00CE167E" w:rsidP="00CE167E">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  ICT equipment</w:t>
            </w:r>
          </w:p>
        </w:tc>
        <w:tc>
          <w:tcPr>
            <w:tcW w:w="1096" w:type="dxa"/>
            <w:noWrap/>
            <w:hideMark/>
          </w:tcPr>
          <w:p w14:paraId="39148A12" w14:textId="77777777" w:rsidR="00CE167E" w:rsidRPr="00CE167E" w:rsidRDefault="00CE167E" w:rsidP="00CE167E">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25%</w:t>
            </w:r>
          </w:p>
        </w:tc>
      </w:tr>
      <w:tr w:rsidR="00CE167E" w:rsidRPr="00CE167E" w14:paraId="1DCDEF89" w14:textId="77777777" w:rsidTr="00CE167E">
        <w:trPr>
          <w:trHeight w:val="300"/>
          <w:jc w:val="center"/>
        </w:trPr>
        <w:tc>
          <w:tcPr>
            <w:tcW w:w="3756" w:type="dxa"/>
            <w:noWrap/>
            <w:hideMark/>
          </w:tcPr>
          <w:p w14:paraId="2EE1F88B" w14:textId="77777777" w:rsidR="00CE167E" w:rsidRPr="00CE167E" w:rsidRDefault="00CE167E" w:rsidP="00CE167E">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  Other machinery and equipment</w:t>
            </w:r>
          </w:p>
        </w:tc>
        <w:tc>
          <w:tcPr>
            <w:tcW w:w="1096" w:type="dxa"/>
            <w:noWrap/>
            <w:hideMark/>
          </w:tcPr>
          <w:p w14:paraId="2E08AC7C" w14:textId="77777777" w:rsidR="00CE167E" w:rsidRPr="00CE167E" w:rsidRDefault="00CE167E" w:rsidP="00CE167E">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34%</w:t>
            </w:r>
          </w:p>
        </w:tc>
      </w:tr>
      <w:tr w:rsidR="00CE167E" w:rsidRPr="00CE167E" w14:paraId="5448969B" w14:textId="77777777" w:rsidTr="00CE167E">
        <w:trPr>
          <w:trHeight w:val="300"/>
          <w:jc w:val="center"/>
        </w:trPr>
        <w:tc>
          <w:tcPr>
            <w:tcW w:w="3756" w:type="dxa"/>
            <w:noWrap/>
            <w:hideMark/>
          </w:tcPr>
          <w:p w14:paraId="006B101F" w14:textId="77777777" w:rsidR="00CE167E" w:rsidRPr="00CE167E" w:rsidRDefault="00CE167E" w:rsidP="00CE167E">
            <w:pPr>
              <w:keepLines/>
              <w:spacing w:line="276" w:lineRule="auto"/>
              <w:jc w:val="both"/>
              <w:rPr>
                <w:rFonts w:ascii="Times New Roman" w:hAnsi="Times New Roman" w:cs="Times New Roman"/>
                <w:sz w:val="24"/>
                <w:szCs w:val="24"/>
              </w:rPr>
            </w:pPr>
            <w:r w:rsidRPr="00CE167E">
              <w:rPr>
                <w:rFonts w:ascii="Times New Roman" w:hAnsi="Times New Roman" w:cs="Times New Roman"/>
                <w:b/>
                <w:bCs/>
                <w:i/>
                <w:iCs/>
                <w:sz w:val="24"/>
                <w:szCs w:val="24"/>
              </w:rPr>
              <w:t>Weapons Systems</w:t>
            </w:r>
          </w:p>
        </w:tc>
        <w:tc>
          <w:tcPr>
            <w:tcW w:w="1096" w:type="dxa"/>
            <w:noWrap/>
            <w:hideMark/>
          </w:tcPr>
          <w:p w14:paraId="26563554" w14:textId="77777777" w:rsidR="00CE167E" w:rsidRPr="00CE167E" w:rsidRDefault="00CE167E" w:rsidP="00CE167E">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29%</w:t>
            </w:r>
          </w:p>
        </w:tc>
      </w:tr>
    </w:tbl>
    <w:p w14:paraId="70ACCFD7" w14:textId="77777777" w:rsidR="00CE167E" w:rsidRPr="00CE167E" w:rsidRDefault="00CE167E" w:rsidP="00525147">
      <w:pPr>
        <w:keepLines/>
        <w:spacing w:line="276" w:lineRule="auto"/>
        <w:jc w:val="both"/>
        <w:rPr>
          <w:rFonts w:ascii="Times New Roman" w:hAnsi="Times New Roman" w:cs="Times New Roman"/>
          <w:sz w:val="24"/>
          <w:szCs w:val="24"/>
        </w:rPr>
      </w:pPr>
    </w:p>
    <w:p w14:paraId="403032F5" w14:textId="64A006CF" w:rsidR="00FF4B05" w:rsidRPr="00CE167E" w:rsidRDefault="00FF4B05" w:rsidP="00525147">
      <w:pPr>
        <w:pStyle w:val="Heading1"/>
        <w:spacing w:line="276" w:lineRule="auto"/>
        <w:rPr>
          <w:rFonts w:ascii="Times New Roman" w:hAnsi="Times New Roman" w:cs="Times New Roman"/>
          <w:sz w:val="24"/>
          <w:szCs w:val="24"/>
        </w:rPr>
      </w:pPr>
      <w:r w:rsidRPr="00CE167E">
        <w:rPr>
          <w:rFonts w:ascii="Times New Roman" w:hAnsi="Times New Roman" w:cs="Times New Roman"/>
          <w:sz w:val="24"/>
          <w:szCs w:val="24"/>
        </w:rPr>
        <w:lastRenderedPageBreak/>
        <w:t>Limitations and exceptions</w:t>
      </w:r>
    </w:p>
    <w:p w14:paraId="1875BEB8" w14:textId="442FF9E4" w:rsidR="00FF4B05" w:rsidRDefault="00FF4B05" w:rsidP="00525147">
      <w:pPr>
        <w:keepLines/>
        <w:spacing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The data presented on capital formation is estimated based on the commodity flow method using </w:t>
      </w:r>
      <w:r w:rsidR="00550D45" w:rsidRPr="00CE167E">
        <w:rPr>
          <w:rFonts w:ascii="Times New Roman" w:hAnsi="Times New Roman" w:cs="Times New Roman"/>
          <w:sz w:val="24"/>
          <w:szCs w:val="24"/>
        </w:rPr>
        <w:t xml:space="preserve">mainly </w:t>
      </w:r>
      <w:r w:rsidRPr="00CE167E">
        <w:rPr>
          <w:rFonts w:ascii="Times New Roman" w:hAnsi="Times New Roman" w:cs="Times New Roman"/>
          <w:sz w:val="24"/>
          <w:szCs w:val="24"/>
        </w:rPr>
        <w:t>data from, trade and construction activities.</w:t>
      </w:r>
      <w:r w:rsidR="00CE167E">
        <w:rPr>
          <w:rFonts w:ascii="Times New Roman" w:hAnsi="Times New Roman" w:cs="Times New Roman"/>
          <w:sz w:val="24"/>
          <w:szCs w:val="24"/>
        </w:rPr>
        <w:t xml:space="preserve"> Given the challenges faced over the years with coverage of all economic activities and industries this method/approach is </w:t>
      </w:r>
      <w:proofErr w:type="spellStart"/>
      <w:r w:rsidR="00CE167E">
        <w:rPr>
          <w:rFonts w:ascii="Times New Roman" w:hAnsi="Times New Roman" w:cs="Times New Roman"/>
          <w:sz w:val="24"/>
          <w:szCs w:val="24"/>
        </w:rPr>
        <w:t>favoured</w:t>
      </w:r>
      <w:proofErr w:type="spellEnd"/>
      <w:r w:rsidR="00CE167E">
        <w:rPr>
          <w:rFonts w:ascii="Times New Roman" w:hAnsi="Times New Roman" w:cs="Times New Roman"/>
          <w:sz w:val="24"/>
          <w:szCs w:val="24"/>
        </w:rPr>
        <w:t xml:space="preserve"> to derive an estimate of capital formation for the whole economy. </w:t>
      </w:r>
    </w:p>
    <w:p w14:paraId="58A5AB73" w14:textId="66AF3823" w:rsidR="00821BDE" w:rsidRDefault="00292A19" w:rsidP="00525147">
      <w:pPr>
        <w:keepLines/>
        <w:spacing w:line="276" w:lineRule="auto"/>
        <w:jc w:val="both"/>
        <w:rPr>
          <w:rFonts w:ascii="Times New Roman" w:hAnsi="Times New Roman" w:cs="Times New Roman"/>
          <w:sz w:val="24"/>
          <w:szCs w:val="24"/>
        </w:rPr>
      </w:pPr>
      <w:r>
        <w:rPr>
          <w:rFonts w:ascii="Times New Roman" w:hAnsi="Times New Roman" w:cs="Times New Roman"/>
          <w:sz w:val="24"/>
          <w:szCs w:val="24"/>
        </w:rPr>
        <w:t>Information was limit</w:t>
      </w:r>
      <w:r w:rsidR="009056FE">
        <w:rPr>
          <w:rFonts w:ascii="Times New Roman" w:hAnsi="Times New Roman" w:cs="Times New Roman"/>
          <w:sz w:val="24"/>
          <w:szCs w:val="24"/>
        </w:rPr>
        <w:t xml:space="preserve">ed in the national accounts to assist with the allocation of </w:t>
      </w:r>
      <w:r>
        <w:rPr>
          <w:rFonts w:ascii="Times New Roman" w:hAnsi="Times New Roman" w:cs="Times New Roman"/>
          <w:sz w:val="24"/>
          <w:szCs w:val="24"/>
        </w:rPr>
        <w:t>other capital goods such as construction tools and kitchen utensils in for restaurant industry as well as musician instruments acquired by musicians. As such no allocation of traded goods under the SITC headings 695, 696 and 898</w:t>
      </w:r>
      <w:r w:rsidR="009056FE">
        <w:rPr>
          <w:rFonts w:ascii="Times New Roman" w:hAnsi="Times New Roman" w:cs="Times New Roman"/>
          <w:sz w:val="24"/>
          <w:szCs w:val="24"/>
        </w:rPr>
        <w:t xml:space="preserve"> is made at this time</w:t>
      </w:r>
      <w:r>
        <w:rPr>
          <w:rFonts w:ascii="Times New Roman" w:hAnsi="Times New Roman" w:cs="Times New Roman"/>
          <w:sz w:val="24"/>
          <w:szCs w:val="24"/>
        </w:rPr>
        <w:t>.</w:t>
      </w:r>
    </w:p>
    <w:p w14:paraId="27F9E4B0" w14:textId="5DD16008" w:rsidR="009056FE" w:rsidRDefault="00850524" w:rsidP="00525147">
      <w:pPr>
        <w:keepLine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data is processed and compiled in domestic currency with fixed rates of trade margins applied to the series 2003 to 2021. </w:t>
      </w:r>
      <w:r w:rsidR="00821BDE">
        <w:rPr>
          <w:rFonts w:ascii="Times New Roman" w:hAnsi="Times New Roman" w:cs="Times New Roman"/>
          <w:sz w:val="24"/>
          <w:szCs w:val="24"/>
        </w:rPr>
        <w:t>No microdata about establishments were available during the process.</w:t>
      </w:r>
    </w:p>
    <w:p w14:paraId="38237AEF" w14:textId="77777777" w:rsidR="00CE167E" w:rsidRPr="00CE167E" w:rsidRDefault="00CE167E" w:rsidP="00525147">
      <w:pPr>
        <w:keepLines/>
        <w:spacing w:line="276" w:lineRule="auto"/>
        <w:jc w:val="both"/>
        <w:rPr>
          <w:rFonts w:ascii="Times New Roman" w:hAnsi="Times New Roman" w:cs="Times New Roman"/>
          <w:sz w:val="24"/>
          <w:szCs w:val="24"/>
        </w:rPr>
      </w:pPr>
    </w:p>
    <w:p w14:paraId="3C104B97" w14:textId="5830A5D6" w:rsidR="0017721D" w:rsidRPr="00CE167E" w:rsidRDefault="0017721D" w:rsidP="00525147">
      <w:pPr>
        <w:keepLines/>
        <w:spacing w:line="276" w:lineRule="auto"/>
        <w:jc w:val="both"/>
        <w:rPr>
          <w:rFonts w:ascii="Times New Roman" w:hAnsi="Times New Roman" w:cs="Times New Roman"/>
          <w:sz w:val="24"/>
          <w:szCs w:val="24"/>
        </w:rPr>
      </w:pPr>
    </w:p>
    <w:p w14:paraId="5D56F59B" w14:textId="77777777" w:rsidR="0017721D" w:rsidRPr="00CE167E" w:rsidRDefault="0017721D" w:rsidP="00525147">
      <w:pPr>
        <w:keepLines/>
        <w:spacing w:line="276" w:lineRule="auto"/>
        <w:jc w:val="both"/>
        <w:rPr>
          <w:rFonts w:ascii="Times New Roman" w:hAnsi="Times New Roman" w:cs="Times New Roman"/>
          <w:sz w:val="24"/>
          <w:szCs w:val="24"/>
        </w:rPr>
      </w:pPr>
    </w:p>
    <w:p w14:paraId="400C0392" w14:textId="77777777" w:rsidR="00850524" w:rsidRDefault="00850524" w:rsidP="00D42132">
      <w:pPr>
        <w:keepLines/>
        <w:spacing w:after="0" w:line="276" w:lineRule="auto"/>
        <w:jc w:val="both"/>
        <w:rPr>
          <w:rFonts w:ascii="Times New Roman" w:hAnsi="Times New Roman" w:cs="Times New Roman"/>
          <w:sz w:val="24"/>
          <w:szCs w:val="24"/>
        </w:rPr>
      </w:pPr>
    </w:p>
    <w:p w14:paraId="27F1CB83" w14:textId="77777777" w:rsidR="00850524" w:rsidRDefault="00850524" w:rsidP="00D42132">
      <w:pPr>
        <w:keepLines/>
        <w:spacing w:after="0" w:line="276" w:lineRule="auto"/>
        <w:jc w:val="both"/>
        <w:rPr>
          <w:rFonts w:ascii="Times New Roman" w:hAnsi="Times New Roman" w:cs="Times New Roman"/>
          <w:sz w:val="24"/>
          <w:szCs w:val="24"/>
        </w:rPr>
      </w:pPr>
    </w:p>
    <w:p w14:paraId="30A2C26F" w14:textId="4982F55E" w:rsidR="00850524" w:rsidRPr="00DF1DCF" w:rsidRDefault="00850524" w:rsidP="00D42132">
      <w:pPr>
        <w:keepLines/>
        <w:spacing w:after="0" w:line="276" w:lineRule="auto"/>
        <w:jc w:val="both"/>
        <w:rPr>
          <w:rFonts w:ascii="Times New Roman" w:hAnsi="Times New Roman" w:cs="Times New Roman"/>
          <w:b/>
          <w:sz w:val="24"/>
          <w:szCs w:val="24"/>
        </w:rPr>
      </w:pPr>
      <w:r w:rsidRPr="00DF1DCF">
        <w:rPr>
          <w:rFonts w:ascii="Times New Roman" w:hAnsi="Times New Roman" w:cs="Times New Roman"/>
          <w:b/>
          <w:sz w:val="24"/>
          <w:szCs w:val="24"/>
        </w:rPr>
        <w:t>Contact Information:</w:t>
      </w:r>
    </w:p>
    <w:p w14:paraId="69473CAE" w14:textId="77777777" w:rsidR="00850524" w:rsidRDefault="00850524" w:rsidP="00D42132">
      <w:pPr>
        <w:keepLines/>
        <w:spacing w:after="0" w:line="276" w:lineRule="auto"/>
        <w:jc w:val="both"/>
        <w:rPr>
          <w:rFonts w:ascii="Times New Roman" w:hAnsi="Times New Roman" w:cs="Times New Roman"/>
          <w:sz w:val="24"/>
          <w:szCs w:val="24"/>
        </w:rPr>
      </w:pPr>
    </w:p>
    <w:p w14:paraId="3D61EFB9" w14:textId="409BDC5C" w:rsidR="003C7AED" w:rsidRPr="00CE167E" w:rsidRDefault="003C7AED" w:rsidP="00D42132">
      <w:pPr>
        <w:keepLines/>
        <w:spacing w:after="0" w:line="276" w:lineRule="auto"/>
        <w:jc w:val="both"/>
        <w:rPr>
          <w:rFonts w:ascii="Times New Roman" w:hAnsi="Times New Roman" w:cs="Times New Roman"/>
          <w:sz w:val="24"/>
          <w:szCs w:val="24"/>
        </w:rPr>
      </w:pPr>
      <w:r w:rsidRPr="00CE167E">
        <w:rPr>
          <w:rFonts w:ascii="Times New Roman" w:hAnsi="Times New Roman" w:cs="Times New Roman"/>
          <w:sz w:val="24"/>
          <w:szCs w:val="24"/>
        </w:rPr>
        <w:t>National Accounts Division</w:t>
      </w:r>
    </w:p>
    <w:p w14:paraId="36619A6D" w14:textId="3878E094" w:rsidR="003C7AED" w:rsidRPr="00CE167E" w:rsidRDefault="003C7AED" w:rsidP="00D42132">
      <w:pPr>
        <w:keepLines/>
        <w:spacing w:after="0" w:line="276" w:lineRule="auto"/>
        <w:jc w:val="both"/>
        <w:rPr>
          <w:rFonts w:ascii="Times New Roman" w:hAnsi="Times New Roman" w:cs="Times New Roman"/>
          <w:sz w:val="24"/>
          <w:szCs w:val="24"/>
        </w:rPr>
      </w:pPr>
      <w:r w:rsidRPr="00CE167E">
        <w:rPr>
          <w:rFonts w:ascii="Times New Roman" w:hAnsi="Times New Roman" w:cs="Times New Roman"/>
          <w:sz w:val="24"/>
          <w:szCs w:val="24"/>
        </w:rPr>
        <w:t xml:space="preserve">Central Statistical Office </w:t>
      </w:r>
    </w:p>
    <w:p w14:paraId="104C5194" w14:textId="0C1F529F" w:rsidR="003C7AED" w:rsidRPr="00CE167E" w:rsidRDefault="003C7AED" w:rsidP="00D42132">
      <w:pPr>
        <w:keepLines/>
        <w:spacing w:after="0" w:line="276" w:lineRule="auto"/>
        <w:jc w:val="both"/>
        <w:rPr>
          <w:rFonts w:ascii="Times New Roman" w:hAnsi="Times New Roman" w:cs="Times New Roman"/>
          <w:sz w:val="24"/>
          <w:szCs w:val="24"/>
        </w:rPr>
      </w:pPr>
      <w:r w:rsidRPr="00CE167E">
        <w:rPr>
          <w:rFonts w:ascii="Times New Roman" w:hAnsi="Times New Roman" w:cs="Times New Roman"/>
          <w:sz w:val="24"/>
          <w:szCs w:val="24"/>
        </w:rPr>
        <w:t>(868)-627-3183</w:t>
      </w:r>
    </w:p>
    <w:sectPr w:rsidR="003C7AED" w:rsidRPr="00CE16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9B29F" w14:textId="77777777" w:rsidR="001D3A0E" w:rsidRDefault="001D3A0E" w:rsidP="00D067D4">
      <w:pPr>
        <w:spacing w:after="0" w:line="240" w:lineRule="auto"/>
      </w:pPr>
      <w:r>
        <w:separator/>
      </w:r>
    </w:p>
  </w:endnote>
  <w:endnote w:type="continuationSeparator" w:id="0">
    <w:p w14:paraId="39E9AA0F" w14:textId="77777777" w:rsidR="001D3A0E" w:rsidRDefault="001D3A0E" w:rsidP="00D0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073035"/>
      <w:docPartObj>
        <w:docPartGallery w:val="Page Numbers (Bottom of Page)"/>
        <w:docPartUnique/>
      </w:docPartObj>
    </w:sdtPr>
    <w:sdtEndPr>
      <w:rPr>
        <w:noProof/>
      </w:rPr>
    </w:sdtEndPr>
    <w:sdtContent>
      <w:p w14:paraId="479BC157" w14:textId="1C2BB6C0" w:rsidR="00D067D4" w:rsidRDefault="00D067D4">
        <w:pPr>
          <w:pStyle w:val="Footer"/>
          <w:jc w:val="right"/>
        </w:pPr>
        <w:r>
          <w:fldChar w:fldCharType="begin"/>
        </w:r>
        <w:r>
          <w:instrText xml:space="preserve"> PAGE   \* MERGEFORMAT </w:instrText>
        </w:r>
        <w:r>
          <w:fldChar w:fldCharType="separate"/>
        </w:r>
        <w:r w:rsidR="00F502EF">
          <w:rPr>
            <w:noProof/>
          </w:rPr>
          <w:t>8</w:t>
        </w:r>
        <w:r>
          <w:rPr>
            <w:noProof/>
          </w:rPr>
          <w:fldChar w:fldCharType="end"/>
        </w:r>
      </w:p>
    </w:sdtContent>
  </w:sdt>
  <w:p w14:paraId="605CFFA7" w14:textId="77777777" w:rsidR="00D067D4" w:rsidRDefault="00D06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285EE" w14:textId="77777777" w:rsidR="001D3A0E" w:rsidRDefault="001D3A0E" w:rsidP="00D067D4">
      <w:pPr>
        <w:spacing w:after="0" w:line="240" w:lineRule="auto"/>
      </w:pPr>
      <w:r>
        <w:separator/>
      </w:r>
    </w:p>
  </w:footnote>
  <w:footnote w:type="continuationSeparator" w:id="0">
    <w:p w14:paraId="1EC43B27" w14:textId="77777777" w:rsidR="001D3A0E" w:rsidRDefault="001D3A0E" w:rsidP="00D067D4">
      <w:pPr>
        <w:spacing w:after="0" w:line="240" w:lineRule="auto"/>
      </w:pPr>
      <w:r>
        <w:continuationSeparator/>
      </w:r>
    </w:p>
  </w:footnote>
  <w:footnote w:id="1">
    <w:p w14:paraId="4BDA89EA" w14:textId="74FF36BF" w:rsidR="00D067D4" w:rsidRPr="00D067D4" w:rsidRDefault="00D067D4">
      <w:pPr>
        <w:pStyle w:val="FootnoteText"/>
        <w:rPr>
          <w:lang w:val="en-TT"/>
        </w:rPr>
      </w:pPr>
      <w:r>
        <w:rPr>
          <w:rStyle w:val="FootnoteReference"/>
        </w:rPr>
        <w:footnoteRef/>
      </w:r>
      <w:r>
        <w:t xml:space="preserve"> Standard International Trade Classification (SITC) Revision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AD"/>
    <w:multiLevelType w:val="hybridMultilevel"/>
    <w:tmpl w:val="2B8277B2"/>
    <w:lvl w:ilvl="0" w:tplc="FFFFFFFF">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DA0335"/>
    <w:multiLevelType w:val="multilevel"/>
    <w:tmpl w:val="3F7490F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2755C9A"/>
    <w:multiLevelType w:val="hybridMultilevel"/>
    <w:tmpl w:val="CF5CA02C"/>
    <w:lvl w:ilvl="0" w:tplc="04090015">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7C839AC"/>
    <w:multiLevelType w:val="hybridMultilevel"/>
    <w:tmpl w:val="CF5CA02C"/>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BD50F6"/>
    <w:multiLevelType w:val="hybridMultilevel"/>
    <w:tmpl w:val="A4BAF2C2"/>
    <w:lvl w:ilvl="0" w:tplc="D0F26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4"/>
  </w:num>
  <w:num w:numId="16">
    <w:abstractNumId w:val="2"/>
  </w:num>
  <w:num w:numId="17">
    <w:abstractNumId w:val="3"/>
  </w:num>
  <w:num w:numId="18">
    <w:abstractNumId w:val="1"/>
  </w:num>
  <w:num w:numId="19">
    <w:abstractNumId w:val="1"/>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ED"/>
    <w:rsid w:val="00006889"/>
    <w:rsid w:val="00093527"/>
    <w:rsid w:val="000C67F8"/>
    <w:rsid w:val="000E181B"/>
    <w:rsid w:val="000E7ECF"/>
    <w:rsid w:val="0012587F"/>
    <w:rsid w:val="0013175C"/>
    <w:rsid w:val="001321AC"/>
    <w:rsid w:val="0017721D"/>
    <w:rsid w:val="00186F33"/>
    <w:rsid w:val="001D3A0E"/>
    <w:rsid w:val="001F53AF"/>
    <w:rsid w:val="00292A19"/>
    <w:rsid w:val="0032169B"/>
    <w:rsid w:val="003528C0"/>
    <w:rsid w:val="00395F05"/>
    <w:rsid w:val="003C7AED"/>
    <w:rsid w:val="004E01A8"/>
    <w:rsid w:val="004E1EDD"/>
    <w:rsid w:val="004E3BD7"/>
    <w:rsid w:val="00512087"/>
    <w:rsid w:val="005153C8"/>
    <w:rsid w:val="00525147"/>
    <w:rsid w:val="00550D45"/>
    <w:rsid w:val="00605956"/>
    <w:rsid w:val="00674BA2"/>
    <w:rsid w:val="0075218B"/>
    <w:rsid w:val="007A4EC5"/>
    <w:rsid w:val="00821BDE"/>
    <w:rsid w:val="00826E56"/>
    <w:rsid w:val="00850524"/>
    <w:rsid w:val="009056FE"/>
    <w:rsid w:val="009E1D85"/>
    <w:rsid w:val="00A11EBD"/>
    <w:rsid w:val="00AA4017"/>
    <w:rsid w:val="00AA5491"/>
    <w:rsid w:val="00B2227B"/>
    <w:rsid w:val="00B30D66"/>
    <w:rsid w:val="00B333C9"/>
    <w:rsid w:val="00B85E4C"/>
    <w:rsid w:val="00BB33DC"/>
    <w:rsid w:val="00C25527"/>
    <w:rsid w:val="00C77114"/>
    <w:rsid w:val="00C842F3"/>
    <w:rsid w:val="00C853E6"/>
    <w:rsid w:val="00CE167E"/>
    <w:rsid w:val="00D067D4"/>
    <w:rsid w:val="00D06A45"/>
    <w:rsid w:val="00D42132"/>
    <w:rsid w:val="00DF1DCF"/>
    <w:rsid w:val="00E302F5"/>
    <w:rsid w:val="00E53518"/>
    <w:rsid w:val="00E949D3"/>
    <w:rsid w:val="00F502EF"/>
    <w:rsid w:val="00FC23F9"/>
    <w:rsid w:val="00FE409C"/>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67D2"/>
  <w15:chartTrackingRefBased/>
  <w15:docId w15:val="{8EECA786-5501-4F9E-A249-CC6C2853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C0"/>
  </w:style>
  <w:style w:type="paragraph" w:styleId="Heading1">
    <w:name w:val="heading 1"/>
    <w:basedOn w:val="Normal"/>
    <w:next w:val="Normal"/>
    <w:link w:val="Heading1Char"/>
    <w:uiPriority w:val="9"/>
    <w:qFormat/>
    <w:rsid w:val="003528C0"/>
    <w:pPr>
      <w:keepNext/>
      <w:keepLines/>
      <w:numPr>
        <w:numId w:val="1"/>
      </w:numPr>
      <w:spacing w:before="240" w:after="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11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711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7711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711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711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711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71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71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7ECF"/>
    <w:rPr>
      <w:b/>
      <w:bCs/>
    </w:rPr>
  </w:style>
  <w:style w:type="paragraph" w:styleId="Title">
    <w:name w:val="Title"/>
    <w:basedOn w:val="Normal"/>
    <w:next w:val="Normal"/>
    <w:link w:val="TitleChar"/>
    <w:uiPriority w:val="10"/>
    <w:qFormat/>
    <w:rsid w:val="000C67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7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67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67F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528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E181B"/>
    <w:rPr>
      <w:color w:val="0000FF"/>
      <w:u w:val="single"/>
    </w:rPr>
  </w:style>
  <w:style w:type="paragraph" w:customStyle="1" w:styleId="rteindent1">
    <w:name w:val="rteindent1"/>
    <w:basedOn w:val="Normal"/>
    <w:rsid w:val="00AA54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71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71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71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71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711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71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71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711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25147"/>
    <w:pPr>
      <w:ind w:left="720"/>
      <w:contextualSpacing/>
    </w:pPr>
  </w:style>
  <w:style w:type="paragraph" w:styleId="Header">
    <w:name w:val="header"/>
    <w:basedOn w:val="Normal"/>
    <w:link w:val="HeaderChar"/>
    <w:uiPriority w:val="99"/>
    <w:unhideWhenUsed/>
    <w:rsid w:val="00D0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D4"/>
  </w:style>
  <w:style w:type="paragraph" w:styleId="Footer">
    <w:name w:val="footer"/>
    <w:basedOn w:val="Normal"/>
    <w:link w:val="FooterChar"/>
    <w:uiPriority w:val="99"/>
    <w:unhideWhenUsed/>
    <w:rsid w:val="00D0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D4"/>
  </w:style>
  <w:style w:type="paragraph" w:styleId="FootnoteText">
    <w:name w:val="footnote text"/>
    <w:basedOn w:val="Normal"/>
    <w:link w:val="FootnoteTextChar"/>
    <w:uiPriority w:val="99"/>
    <w:semiHidden/>
    <w:unhideWhenUsed/>
    <w:rsid w:val="00D06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7D4"/>
    <w:rPr>
      <w:sz w:val="20"/>
      <w:szCs w:val="20"/>
    </w:rPr>
  </w:style>
  <w:style w:type="character" w:styleId="FootnoteReference">
    <w:name w:val="footnote reference"/>
    <w:basedOn w:val="DefaultParagraphFont"/>
    <w:uiPriority w:val="99"/>
    <w:semiHidden/>
    <w:unhideWhenUsed/>
    <w:rsid w:val="00D067D4"/>
    <w:rPr>
      <w:vertAlign w:val="superscript"/>
    </w:rPr>
  </w:style>
  <w:style w:type="paragraph" w:styleId="BalloonText">
    <w:name w:val="Balloon Text"/>
    <w:basedOn w:val="Normal"/>
    <w:link w:val="BalloonTextChar"/>
    <w:uiPriority w:val="99"/>
    <w:semiHidden/>
    <w:unhideWhenUsed/>
    <w:rsid w:val="00D42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933">
      <w:bodyDiv w:val="1"/>
      <w:marLeft w:val="0"/>
      <w:marRight w:val="0"/>
      <w:marTop w:val="0"/>
      <w:marBottom w:val="0"/>
      <w:divBdr>
        <w:top w:val="none" w:sz="0" w:space="0" w:color="auto"/>
        <w:left w:val="none" w:sz="0" w:space="0" w:color="auto"/>
        <w:bottom w:val="none" w:sz="0" w:space="0" w:color="auto"/>
        <w:right w:val="none" w:sz="0" w:space="0" w:color="auto"/>
      </w:divBdr>
    </w:div>
    <w:div w:id="225802781">
      <w:bodyDiv w:val="1"/>
      <w:marLeft w:val="0"/>
      <w:marRight w:val="0"/>
      <w:marTop w:val="0"/>
      <w:marBottom w:val="0"/>
      <w:divBdr>
        <w:top w:val="none" w:sz="0" w:space="0" w:color="auto"/>
        <w:left w:val="none" w:sz="0" w:space="0" w:color="auto"/>
        <w:bottom w:val="none" w:sz="0" w:space="0" w:color="auto"/>
        <w:right w:val="none" w:sz="0" w:space="0" w:color="auto"/>
      </w:divBdr>
    </w:div>
    <w:div w:id="261767810">
      <w:bodyDiv w:val="1"/>
      <w:marLeft w:val="0"/>
      <w:marRight w:val="0"/>
      <w:marTop w:val="0"/>
      <w:marBottom w:val="0"/>
      <w:divBdr>
        <w:top w:val="none" w:sz="0" w:space="0" w:color="auto"/>
        <w:left w:val="none" w:sz="0" w:space="0" w:color="auto"/>
        <w:bottom w:val="none" w:sz="0" w:space="0" w:color="auto"/>
        <w:right w:val="none" w:sz="0" w:space="0" w:color="auto"/>
      </w:divBdr>
    </w:div>
    <w:div w:id="418213541">
      <w:bodyDiv w:val="1"/>
      <w:marLeft w:val="0"/>
      <w:marRight w:val="0"/>
      <w:marTop w:val="0"/>
      <w:marBottom w:val="0"/>
      <w:divBdr>
        <w:top w:val="none" w:sz="0" w:space="0" w:color="auto"/>
        <w:left w:val="none" w:sz="0" w:space="0" w:color="auto"/>
        <w:bottom w:val="none" w:sz="0" w:space="0" w:color="auto"/>
        <w:right w:val="none" w:sz="0" w:space="0" w:color="auto"/>
      </w:divBdr>
    </w:div>
    <w:div w:id="665204236">
      <w:bodyDiv w:val="1"/>
      <w:marLeft w:val="0"/>
      <w:marRight w:val="0"/>
      <w:marTop w:val="0"/>
      <w:marBottom w:val="0"/>
      <w:divBdr>
        <w:top w:val="none" w:sz="0" w:space="0" w:color="auto"/>
        <w:left w:val="none" w:sz="0" w:space="0" w:color="auto"/>
        <w:bottom w:val="none" w:sz="0" w:space="0" w:color="auto"/>
        <w:right w:val="none" w:sz="0" w:space="0" w:color="auto"/>
      </w:divBdr>
    </w:div>
    <w:div w:id="689795543">
      <w:bodyDiv w:val="1"/>
      <w:marLeft w:val="0"/>
      <w:marRight w:val="0"/>
      <w:marTop w:val="0"/>
      <w:marBottom w:val="0"/>
      <w:divBdr>
        <w:top w:val="none" w:sz="0" w:space="0" w:color="auto"/>
        <w:left w:val="none" w:sz="0" w:space="0" w:color="auto"/>
        <w:bottom w:val="none" w:sz="0" w:space="0" w:color="auto"/>
        <w:right w:val="none" w:sz="0" w:space="0" w:color="auto"/>
      </w:divBdr>
    </w:div>
    <w:div w:id="723875034">
      <w:bodyDiv w:val="1"/>
      <w:marLeft w:val="0"/>
      <w:marRight w:val="0"/>
      <w:marTop w:val="0"/>
      <w:marBottom w:val="0"/>
      <w:divBdr>
        <w:top w:val="none" w:sz="0" w:space="0" w:color="auto"/>
        <w:left w:val="none" w:sz="0" w:space="0" w:color="auto"/>
        <w:bottom w:val="none" w:sz="0" w:space="0" w:color="auto"/>
        <w:right w:val="none" w:sz="0" w:space="0" w:color="auto"/>
      </w:divBdr>
    </w:div>
    <w:div w:id="1130319912">
      <w:bodyDiv w:val="1"/>
      <w:marLeft w:val="0"/>
      <w:marRight w:val="0"/>
      <w:marTop w:val="0"/>
      <w:marBottom w:val="0"/>
      <w:divBdr>
        <w:top w:val="none" w:sz="0" w:space="0" w:color="auto"/>
        <w:left w:val="none" w:sz="0" w:space="0" w:color="auto"/>
        <w:bottom w:val="none" w:sz="0" w:space="0" w:color="auto"/>
        <w:right w:val="none" w:sz="0" w:space="0" w:color="auto"/>
      </w:divBdr>
    </w:div>
    <w:div w:id="1155994642">
      <w:bodyDiv w:val="1"/>
      <w:marLeft w:val="0"/>
      <w:marRight w:val="0"/>
      <w:marTop w:val="0"/>
      <w:marBottom w:val="0"/>
      <w:divBdr>
        <w:top w:val="none" w:sz="0" w:space="0" w:color="auto"/>
        <w:left w:val="none" w:sz="0" w:space="0" w:color="auto"/>
        <w:bottom w:val="none" w:sz="0" w:space="0" w:color="auto"/>
        <w:right w:val="none" w:sz="0" w:space="0" w:color="auto"/>
      </w:divBdr>
    </w:div>
    <w:div w:id="1194881615">
      <w:bodyDiv w:val="1"/>
      <w:marLeft w:val="0"/>
      <w:marRight w:val="0"/>
      <w:marTop w:val="0"/>
      <w:marBottom w:val="0"/>
      <w:divBdr>
        <w:top w:val="none" w:sz="0" w:space="0" w:color="auto"/>
        <w:left w:val="none" w:sz="0" w:space="0" w:color="auto"/>
        <w:bottom w:val="none" w:sz="0" w:space="0" w:color="auto"/>
        <w:right w:val="none" w:sz="0" w:space="0" w:color="auto"/>
      </w:divBdr>
    </w:div>
    <w:div w:id="1382095421">
      <w:bodyDiv w:val="1"/>
      <w:marLeft w:val="0"/>
      <w:marRight w:val="0"/>
      <w:marTop w:val="0"/>
      <w:marBottom w:val="0"/>
      <w:divBdr>
        <w:top w:val="none" w:sz="0" w:space="0" w:color="auto"/>
        <w:left w:val="none" w:sz="0" w:space="0" w:color="auto"/>
        <w:bottom w:val="none" w:sz="0" w:space="0" w:color="auto"/>
        <w:right w:val="none" w:sz="0" w:space="0" w:color="auto"/>
      </w:divBdr>
    </w:div>
    <w:div w:id="1513835843">
      <w:bodyDiv w:val="1"/>
      <w:marLeft w:val="0"/>
      <w:marRight w:val="0"/>
      <w:marTop w:val="0"/>
      <w:marBottom w:val="0"/>
      <w:divBdr>
        <w:top w:val="none" w:sz="0" w:space="0" w:color="auto"/>
        <w:left w:val="none" w:sz="0" w:space="0" w:color="auto"/>
        <w:bottom w:val="none" w:sz="0" w:space="0" w:color="auto"/>
        <w:right w:val="none" w:sz="0" w:space="0" w:color="auto"/>
      </w:divBdr>
    </w:div>
    <w:div w:id="20473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nationalaccount/sna2008.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xology.com/contributors/21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676C-12F0-406C-9738-B712BBA6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Reanata Ramsey</dc:creator>
  <cp:keywords/>
  <dc:description/>
  <cp:lastModifiedBy>Mark Ramlochan</cp:lastModifiedBy>
  <cp:revision>23</cp:revision>
  <cp:lastPrinted>2022-08-04T12:56:00Z</cp:lastPrinted>
  <dcterms:created xsi:type="dcterms:W3CDTF">2022-07-21T01:40:00Z</dcterms:created>
  <dcterms:modified xsi:type="dcterms:W3CDTF">2024-01-18T17:36:00Z</dcterms:modified>
</cp:coreProperties>
</file>