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C1" w:rsidRDefault="008530C1" w:rsidP="008530C1">
      <w:pPr>
        <w:jc w:val="center"/>
        <w:rPr>
          <w:b/>
        </w:rPr>
      </w:pPr>
      <w:r w:rsidRPr="00482271">
        <w:rPr>
          <w:b/>
        </w:rPr>
        <w:t>Education Expenditures</w:t>
      </w:r>
      <w:r>
        <w:rPr>
          <w:rStyle w:val="FootnoteReference"/>
          <w:b/>
        </w:rPr>
        <w:footnoteReference w:id="1"/>
      </w:r>
    </w:p>
    <w:p w:rsidR="008530C1" w:rsidRPr="00482271" w:rsidRDefault="008530C1" w:rsidP="008530C1">
      <w:pPr>
        <w:jc w:val="center"/>
        <w:rPr>
          <w:b/>
        </w:rPr>
      </w:pPr>
      <w:r w:rsidRPr="008C7CC5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Actual Expenditure by the Ministry of Education Estimated by Education Level (TTD$)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2"/>
        <w:gridCol w:w="1161"/>
        <w:gridCol w:w="1161"/>
        <w:gridCol w:w="1161"/>
        <w:gridCol w:w="1161"/>
        <w:gridCol w:w="1161"/>
        <w:gridCol w:w="1161"/>
        <w:gridCol w:w="1161"/>
        <w:gridCol w:w="1331"/>
        <w:gridCol w:w="1270"/>
        <w:gridCol w:w="1315"/>
      </w:tblGrid>
      <w:tr w:rsidR="008530C1" w:rsidRPr="008E6C69" w:rsidTr="00A5744B">
        <w:trPr>
          <w:trHeight w:val="645"/>
          <w:tblHeader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2011/2012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2012/2013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2013/2014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2014/2015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2015/2016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2016/2017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2017/2018</w:t>
            </w:r>
          </w:p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2018/2019 Actual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2019/2020 Actual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2020/2021 Actual</w:t>
            </w:r>
          </w:p>
        </w:tc>
      </w:tr>
      <w:tr w:rsidR="008530C1" w:rsidRPr="000E6040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TOTAL EDUCATION EXPENDITURE</w:t>
            </w:r>
            <w:r w:rsidRPr="000E60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–MOE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4,017,166,637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4,748,100,353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4,614,870,748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5,391,724,069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6,315,593,645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5,426,245,663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5,797,979,154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5,796,980,205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5,545,949,026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4,973,956,037</w:t>
            </w: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97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Recurrent Expenditure 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3,532,9</w:t>
            </w:r>
            <w:bookmarkStart w:id="0" w:name="_GoBack"/>
            <w:bookmarkEnd w:id="0"/>
            <w:r w:rsidRPr="007367FA">
              <w:rPr>
                <w:sz w:val="18"/>
                <w:szCs w:val="18"/>
              </w:rPr>
              <w:t>56,854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4,230,241,796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3,758,788,404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4,541,274,955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5,902,954,417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5,008,250,461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5,297,430,081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5,211,160,574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5,060,865,266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67FA">
              <w:rPr>
                <w:rFonts w:eastAsia="Times New Roman" w:cs="Times New Roman"/>
                <w:color w:val="000000"/>
                <w:sz w:val="18"/>
                <w:szCs w:val="18"/>
              </w:rPr>
              <w:t>4,649,189,703</w:t>
            </w:r>
          </w:p>
        </w:tc>
      </w:tr>
      <w:tr w:rsidR="008530C1" w:rsidRPr="008E6C69" w:rsidTr="00A5744B">
        <w:trPr>
          <w:trHeight w:val="397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09 Development </w:t>
            </w:r>
            <w:proofErr w:type="spellStart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30,584,597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60,755,727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106,146,779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132,255,261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357,979,599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270,824,353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206,064,703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220,754,318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219,605,131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67FA">
              <w:rPr>
                <w:rFonts w:eastAsia="Times New Roman" w:cs="Times New Roman"/>
                <w:color w:val="000000"/>
                <w:sz w:val="18"/>
                <w:szCs w:val="18"/>
              </w:rPr>
              <w:t>296,863,422</w:t>
            </w:r>
          </w:p>
        </w:tc>
      </w:tr>
      <w:tr w:rsidR="008530C1" w:rsidRPr="008E6C69" w:rsidTr="00A5744B">
        <w:trPr>
          <w:trHeight w:val="397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701 -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Infrastructure Development Fund MOE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453,625,186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457,102,830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749,935,565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718,193,853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54,659,629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147,170,849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294,484,370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365,065,313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265,478,629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67FA">
              <w:rPr>
                <w:rFonts w:eastAsia="Times New Roman" w:cs="Times New Roman"/>
                <w:color w:val="000000"/>
                <w:sz w:val="18"/>
                <w:szCs w:val="18"/>
              </w:rPr>
              <w:t>27,902,912</w:t>
            </w:r>
          </w:p>
        </w:tc>
      </w:tr>
      <w:tr w:rsidR="008530C1" w:rsidRPr="008E6C69" w:rsidTr="00A5744B">
        <w:trPr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8530C1" w:rsidRPr="0059766C" w:rsidRDefault="008530C1" w:rsidP="00A574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9766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EXPENDITURE DISAGGREGATED BY LEVEL: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530C1" w:rsidRPr="0059766C" w:rsidRDefault="008530C1" w:rsidP="00A5744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u w:val="double"/>
              </w:rPr>
            </w:pPr>
            <w:r w:rsidRPr="0059766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PRE-PRIMARY EXPENDITURE</w:t>
            </w:r>
            <w:r w:rsidRPr="0059766C">
              <w:rPr>
                <w:b/>
                <w:u w:val="single"/>
                <w:vertAlign w:val="superscript"/>
              </w:rPr>
              <w:footnoteReference w:id="2"/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76,504,933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69,820,552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92,425,822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205,825,243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105,428,436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86,464,231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65,819,767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105,878,087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55,885,958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17,697,495</w:t>
            </w: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HEAD 26 - Recurrent Expenditure 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69,504,933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64,602,953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56,151,995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97,019,755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97,773,730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56,893,785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38,177,388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38,140,616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32,843,036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15,605,968</w:t>
            </w: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26 - 09 Development </w:t>
            </w:r>
            <w:proofErr w:type="spellStart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30C1" w:rsidRPr="008E6C69" w:rsidTr="00A5744B">
        <w:trPr>
          <w:trHeight w:val="397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701 -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Infrastructure Development Fund MOE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7,000,000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5,217,599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36,273,827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108,805,488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7,654,706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29,570,446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27,642,379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67,737,471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7367FA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7367FA">
              <w:rPr>
                <w:sz w:val="18"/>
                <w:szCs w:val="18"/>
              </w:rPr>
              <w:t>23,042,922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2,091,527</w:t>
            </w:r>
          </w:p>
        </w:tc>
      </w:tr>
      <w:tr w:rsidR="008530C1" w:rsidRPr="008E6C69" w:rsidTr="00A5744B">
        <w:trPr>
          <w:trHeight w:val="34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0E6040" w:rsidTr="00A5744B">
        <w:trPr>
          <w:trHeight w:val="315"/>
        </w:trPr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PRIMARY EXPENDITURE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footnoteReference w:id="3"/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1,506,533,733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1,777,210,924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1,715,481,845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1,952,251,634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1,417,402,777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1,389,674,066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1,496,988,643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1,550,745,295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1,466,383,495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1,262,579,571</w:t>
            </w: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HEAD 26 - Recurrent Expenditure 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1,306,240,567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1,560,404,661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1,307,308,668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1,610,819,474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1,383,012,351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1,340,002,399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1,418,175,428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1,447,688,914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1,356,478,057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1,210,572,963</w:t>
            </w:r>
          </w:p>
        </w:tc>
      </w:tr>
      <w:tr w:rsidR="008530C1" w:rsidRPr="008E6C69" w:rsidTr="00A5744B">
        <w:trPr>
          <w:trHeight w:val="315"/>
        </w:trPr>
        <w:tc>
          <w:tcPr>
            <w:tcW w:w="1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26 - 09 Development </w:t>
            </w:r>
            <w:proofErr w:type="spellStart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367,544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4,120,057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7,182,752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243,619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187,675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35,834,613</w:t>
            </w:r>
          </w:p>
        </w:tc>
      </w:tr>
      <w:tr w:rsidR="008530C1" w:rsidRPr="008E6C69" w:rsidTr="00A5744B">
        <w:trPr>
          <w:trHeight w:val="397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701 -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Infrastructure Development Fund MOE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199,925,622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216,806,263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408,173,177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341,432,160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34,390,426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45,551,610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71,630,463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102,812,762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109,717,763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16,171,994</w:t>
            </w:r>
          </w:p>
        </w:tc>
      </w:tr>
    </w:tbl>
    <w:p w:rsidR="008530C1" w:rsidRDefault="008530C1" w:rsidP="008530C1">
      <w:pPr>
        <w:jc w:val="center"/>
      </w:pP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4195"/>
        <w:gridCol w:w="1244"/>
        <w:gridCol w:w="1244"/>
        <w:gridCol w:w="1244"/>
        <w:gridCol w:w="1244"/>
        <w:gridCol w:w="1244"/>
        <w:gridCol w:w="1244"/>
        <w:gridCol w:w="1377"/>
        <w:gridCol w:w="1275"/>
        <w:gridCol w:w="1278"/>
        <w:gridCol w:w="1407"/>
      </w:tblGrid>
      <w:tr w:rsidR="008530C1" w:rsidRPr="008E6C69" w:rsidTr="00A5744B">
        <w:trPr>
          <w:trHeight w:val="645"/>
          <w:tblHeader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2011/2012 Actual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2012/2013 Actual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2013/2014 Actual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2014/2015 Actual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2015/2016 Actual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2016/2017 Actual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2017/2018 Actual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2018/2019 Actual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2019/2020 Actual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2020/2021 Actual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530C1" w:rsidRPr="00744EF3" w:rsidRDefault="008530C1" w:rsidP="00A574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44E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SECONDARY EXPENDITURE</w:t>
            </w:r>
            <w:r w:rsidRPr="00744EF3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footnoteReference w:id="4"/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1,551,029,109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1,836,580,111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1,675,428,457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2,000,566,542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1,503,698,499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1,557,683,112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1,582,106,202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1,660,482,026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1,571,794,640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double"/>
              </w:rPr>
              <w:t>1,406,023,551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HEAD 26 - Recurrent Expenditure TOTAL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1,304,329,545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1,631,009,681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1,394,305,354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1,749,654,861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1,497,195,717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1,482,897,453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1,505,981,557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1,559,150,916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1,500,841,287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1,384,822,481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26 - 09 Development </w:t>
            </w:r>
            <w:proofErr w:type="spellStart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2,736,866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1,178,117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12,596,049</w:t>
            </w:r>
          </w:p>
        </w:tc>
      </w:tr>
      <w:tr w:rsidR="008530C1" w:rsidRPr="008E6C69" w:rsidTr="00A5744B">
        <w:trPr>
          <w:trHeight w:val="397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701 -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Infrastructure Development Fund MOE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246,699,564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205,570,430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281,123,103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250,911,681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6,502,782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72,048,793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74,946,528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101,331,110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70,953,353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8,605,021</w:t>
            </w:r>
          </w:p>
        </w:tc>
      </w:tr>
      <w:tr w:rsidR="008530C1" w:rsidRPr="008E6C69" w:rsidTr="00A5744B">
        <w:trPr>
          <w:trHeight w:val="34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0E6040" w:rsidTr="00A5744B">
        <w:trPr>
          <w:trHeight w:val="315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POST-SECONDARY NON-</w:t>
            </w: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TERTIARY AND TERTIARY EXPENDITURE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footnoteReference w:id="5"/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353,595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2,363,498,854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1,656,298,517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1,774,033,160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1,629,991,282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1,599,930,487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1,426,199,082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HEAD 26 - Recurrent Expenditure TOTAL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24,120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2,017,992,041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1,400,449,581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1,458,382,255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1,325,742,128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1,333,630,084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1,179,795,883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26 - 09 Development </w:t>
            </w:r>
            <w:proofErr w:type="spellStart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329,475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339,395,098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255,848,936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195,385,905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213,549,154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214,001,012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246,403,199</w:t>
            </w:r>
          </w:p>
        </w:tc>
      </w:tr>
      <w:tr w:rsidR="008530C1" w:rsidRPr="008E6C69" w:rsidTr="00A5744B">
        <w:trPr>
          <w:trHeight w:val="397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701 -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Infrastructure Development Fund MOE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6,111,715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120,265,000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90,700,000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52,299,391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30C1" w:rsidRPr="008E6C69" w:rsidTr="00A5744B">
        <w:trPr>
          <w:trHeight w:val="34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0E6040" w:rsidTr="00A5744B">
        <w:trPr>
          <w:trHeight w:val="315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EXPENDITURE NOT DISAGGREGATED BY LEVEL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882,745,267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1,064,488,766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1,131,534,624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1,233,080,650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925,565,080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736,125,737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879,031,383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849,883,515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851,954,445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861,456,338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HEAD 26 - Recurrent Expenditure TOTAL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852,857,689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974,224,501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1,001,022,387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1,083,780,865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906,980,579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728,007,243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876,713,453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840,438,000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837,072,801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858,392,408</w:t>
            </w:r>
          </w:p>
        </w:tc>
      </w:tr>
      <w:tr w:rsidR="008530C1" w:rsidRPr="008E6C69" w:rsidTr="00A5744B">
        <w:trPr>
          <w:trHeight w:val="315"/>
        </w:trPr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26 - 09 Development </w:t>
            </w:r>
            <w:proofErr w:type="spellStart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Programme</w:t>
            </w:r>
            <w:proofErr w:type="spellEnd"/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29,887,578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60,755,727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106,146,779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132,255,261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18,584,501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8,118,494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2,317,930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6,961,545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5,416,444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2,029,561</w:t>
            </w:r>
          </w:p>
        </w:tc>
      </w:tr>
      <w:tr w:rsidR="008530C1" w:rsidRPr="008E6C69" w:rsidTr="00A5744B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HEAD 701 -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Infrastructure Development Fund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MOE </w:t>
            </w: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29,508,538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24,365,458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17,044,524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2,483,970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9,465,200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color w:val="000000"/>
                <w:sz w:val="18"/>
                <w:szCs w:val="18"/>
              </w:rPr>
              <w:t>1,034,369</w:t>
            </w:r>
          </w:p>
        </w:tc>
      </w:tr>
      <w:tr w:rsidR="008530C1" w:rsidRPr="008E6C69" w:rsidTr="00A5744B">
        <w:trPr>
          <w:trHeight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1" w:rsidRDefault="008530C1" w:rsidP="00A574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8530C1" w:rsidRDefault="008530C1" w:rsidP="00A574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 WHICH: ESTIMATED BY LEVEL</w:t>
            </w:r>
            <w:r>
              <w:rPr>
                <w:rStyle w:val="FootnoteReference"/>
                <w:color w:val="000000"/>
                <w:sz w:val="18"/>
                <w:szCs w:val="18"/>
              </w:rPr>
              <w:footnoteReference w:id="6"/>
            </w:r>
          </w:p>
          <w:p w:rsidR="008530C1" w:rsidRPr="00C04217" w:rsidRDefault="008530C1" w:rsidP="00A574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C04217">
              <w:rPr>
                <w:color w:val="000000"/>
                <w:sz w:val="18"/>
                <w:szCs w:val="18"/>
              </w:rPr>
              <w:t>Pre-Primary Expenditure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21,546,040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20,176,718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30,023,809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61,029,307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18,103,963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13,570,771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11,762,199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18,189,263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10,143,235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3,707,142</w:t>
            </w:r>
          </w:p>
        </w:tc>
      </w:tr>
      <w:tr w:rsidR="008530C1" w:rsidRPr="008E6C69" w:rsidTr="00A5744B">
        <w:trPr>
          <w:trHeight w:val="340"/>
        </w:trPr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C1" w:rsidRPr="00C04217" w:rsidRDefault="008530C1" w:rsidP="00A5744B">
            <w:pPr>
              <w:spacing w:after="4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C04217">
              <w:rPr>
                <w:color w:val="000000"/>
                <w:sz w:val="18"/>
                <w:szCs w:val="18"/>
              </w:rPr>
              <w:t>Primary Expenditure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424,284,219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513,577,781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557,260,923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578,862,738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243,393,611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218,112,727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267,516,562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266,409,360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266,146,864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264,475,928</w:t>
            </w:r>
          </w:p>
        </w:tc>
      </w:tr>
      <w:tr w:rsidR="008530C1" w:rsidRPr="008E6C69" w:rsidTr="00A5744B">
        <w:trPr>
          <w:trHeight w:val="283"/>
        </w:trPr>
        <w:tc>
          <w:tcPr>
            <w:tcW w:w="1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0C1" w:rsidRPr="00C04217" w:rsidRDefault="008530C1" w:rsidP="00A5744B">
            <w:pPr>
              <w:spacing w:after="4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C04217">
              <w:rPr>
                <w:color w:val="000000"/>
                <w:sz w:val="18"/>
                <w:szCs w:val="18"/>
              </w:rPr>
              <w:t>Secondary Expenditure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436,815,426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530,734,267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544,249,892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593,188,606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258,212,142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244,482,156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282,727,337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285,261,516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285,278,862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294,523,523</w:t>
            </w:r>
          </w:p>
        </w:tc>
      </w:tr>
      <w:tr w:rsidR="008530C1" w:rsidRPr="008E6C69" w:rsidTr="00A5744B">
        <w:trPr>
          <w:trHeight w:val="283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0C1" w:rsidRPr="00C04217" w:rsidRDefault="008530C1" w:rsidP="00A5744B">
            <w:pPr>
              <w:spacing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Post-Secondary Non-Tertiary a</w:t>
            </w:r>
            <w:r w:rsidRPr="00C04217">
              <w:rPr>
                <w:color w:val="000000"/>
                <w:sz w:val="18"/>
                <w:szCs w:val="18"/>
              </w:rPr>
              <w:t>nd Tertiary Expenditure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99,583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405,855,364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259,960,083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317,025,285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280,023,377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290,385,484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298,749,746</w:t>
            </w:r>
          </w:p>
        </w:tc>
      </w:tr>
    </w:tbl>
    <w:p w:rsidR="008530C1" w:rsidRDefault="008530C1" w:rsidP="008530C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0"/>
        <w:gridCol w:w="1161"/>
        <w:gridCol w:w="1161"/>
        <w:gridCol w:w="1161"/>
        <w:gridCol w:w="1161"/>
        <w:gridCol w:w="1161"/>
        <w:gridCol w:w="1161"/>
        <w:gridCol w:w="1161"/>
        <w:gridCol w:w="1339"/>
        <w:gridCol w:w="1278"/>
        <w:gridCol w:w="1291"/>
      </w:tblGrid>
      <w:tr w:rsidR="008530C1" w:rsidRPr="008E6C69" w:rsidTr="00A5744B">
        <w:trPr>
          <w:trHeight w:val="645"/>
          <w:tblHeader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2011/2012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2012/2013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2013/2014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2014/2015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2015/2016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2016/2017 Actual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2017/2018</w:t>
            </w:r>
          </w:p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2018/2019 Actual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2019/2020 Actual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2020/2021 Actual</w:t>
            </w:r>
          </w:p>
        </w:tc>
      </w:tr>
      <w:tr w:rsidR="008530C1" w:rsidRPr="000E6040" w:rsidTr="00A5744B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TOTAL EDUCATION EXPENDITURE</w:t>
            </w:r>
            <w:r w:rsidRPr="000E60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–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MOE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4,017,166,637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4,748,100,353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4,614,870,748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5,391,724,069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6,315,593,645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5,426,245,663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5,797,979,154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5,796,980,205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5,545,949,026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E6C6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4,973,956,037</w:t>
            </w:r>
          </w:p>
        </w:tc>
      </w:tr>
      <w:tr w:rsidR="008530C1" w:rsidRPr="008E6C69" w:rsidTr="00A5744B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530C1" w:rsidRPr="008E6C69" w:rsidTr="00A5744B">
        <w:trPr>
          <w:trHeight w:val="397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 ESTIMATED PRE-PRIMARY EDUCATION EXPENDITURE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98,050,973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89,997,271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122,449,631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266,854,550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123,532,399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100,035,002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77,581,966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124,067,350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66,029,193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21,404,637</w:t>
            </w:r>
          </w:p>
        </w:tc>
      </w:tr>
      <w:tr w:rsidR="008530C1" w:rsidRPr="008E6C69" w:rsidTr="00A5744B">
        <w:trPr>
          <w:trHeight w:val="397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 ESTIMATED PRIMARY EDUCATION EXPENDITURE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1,930,817,951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2,290,788,705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2,272,742,768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2,531,114,372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1,660,796,387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1,607,786,793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1,764,505,204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1,817,154,655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1,732,530,359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1,527,055,499</w:t>
            </w:r>
          </w:p>
        </w:tc>
      </w:tr>
      <w:tr w:rsidR="008530C1" w:rsidRPr="008E6C69" w:rsidTr="00A5744B">
        <w:trPr>
          <w:trHeight w:val="397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vAlign w:val="bottom"/>
            <w:hideMark/>
          </w:tcPr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 ESTIMATED SECONDARY EDUCATION EXPENDITURE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1,987,844,535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2,367,314,377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2,219,678,349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2,593,755,147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1,761,910,641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1,802,165,268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1,864,833,538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1,945,743,542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1,857,073,502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1,700,547,074</w:t>
            </w:r>
          </w:p>
        </w:tc>
      </w:tr>
      <w:tr w:rsidR="008530C1" w:rsidRPr="008E6C69" w:rsidTr="00A5744B">
        <w:trPr>
          <w:trHeight w:val="397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8530C1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8530C1" w:rsidRPr="008E6C69" w:rsidRDefault="008530C1" w:rsidP="00A574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 ESTIMATED POST-SECONDARY NON-TERTIARY AND TERTIARY EDUCATION EXPENDITURE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453,178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2,769,354,218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1,916,258,600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2,091,058,445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1,910,014,659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1,890,315,971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530C1" w:rsidRPr="0059766C" w:rsidRDefault="008530C1" w:rsidP="00A5744B">
            <w:pPr>
              <w:spacing w:after="0"/>
              <w:jc w:val="right"/>
              <w:rPr>
                <w:sz w:val="18"/>
                <w:szCs w:val="18"/>
              </w:rPr>
            </w:pPr>
            <w:r w:rsidRPr="0059766C">
              <w:rPr>
                <w:sz w:val="18"/>
                <w:szCs w:val="18"/>
              </w:rPr>
              <w:t>1,724,948,827</w:t>
            </w:r>
          </w:p>
        </w:tc>
      </w:tr>
    </w:tbl>
    <w:p w:rsidR="00BF231F" w:rsidRDefault="00BF231F" w:rsidP="008530C1">
      <w:pPr>
        <w:jc w:val="both"/>
        <w:rPr>
          <w:i/>
          <w:sz w:val="20"/>
          <w:szCs w:val="20"/>
        </w:rPr>
      </w:pPr>
    </w:p>
    <w:p w:rsidR="008530C1" w:rsidRPr="000E123E" w:rsidRDefault="008530C1" w:rsidP="008530C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Source: Ministry of Education, RPTSD and EPD.</w:t>
      </w:r>
    </w:p>
    <w:p w:rsidR="008530C1" w:rsidRDefault="008530C1" w:rsidP="008530C1">
      <w:pPr>
        <w:jc w:val="center"/>
        <w:rPr>
          <w:b/>
        </w:rPr>
      </w:pPr>
    </w:p>
    <w:p w:rsidR="008530C1" w:rsidRDefault="008530C1" w:rsidP="008530C1">
      <w:pPr>
        <w:jc w:val="center"/>
        <w:rPr>
          <w:b/>
        </w:rPr>
      </w:pPr>
    </w:p>
    <w:p w:rsidR="008530C1" w:rsidRDefault="008530C1" w:rsidP="008530C1">
      <w:pPr>
        <w:rPr>
          <w:b/>
        </w:rPr>
      </w:pPr>
    </w:p>
    <w:p w:rsidR="003810CD" w:rsidRDefault="003810CD"/>
    <w:sectPr w:rsidR="003810CD" w:rsidSect="008E6C6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B8" w:rsidRDefault="00C765B8" w:rsidP="008530C1">
      <w:pPr>
        <w:spacing w:after="0" w:line="240" w:lineRule="auto"/>
      </w:pPr>
      <w:r>
        <w:separator/>
      </w:r>
    </w:p>
  </w:endnote>
  <w:endnote w:type="continuationSeparator" w:id="0">
    <w:p w:rsidR="00C765B8" w:rsidRDefault="00C765B8" w:rsidP="0085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B8" w:rsidRDefault="00C765B8" w:rsidP="008530C1">
      <w:pPr>
        <w:spacing w:after="0" w:line="240" w:lineRule="auto"/>
      </w:pPr>
      <w:r>
        <w:separator/>
      </w:r>
    </w:p>
  </w:footnote>
  <w:footnote w:type="continuationSeparator" w:id="0">
    <w:p w:rsidR="00C765B8" w:rsidRDefault="00C765B8" w:rsidP="008530C1">
      <w:pPr>
        <w:spacing w:after="0" w:line="240" w:lineRule="auto"/>
      </w:pPr>
      <w:r>
        <w:continuationSeparator/>
      </w:r>
    </w:p>
  </w:footnote>
  <w:footnote w:id="1">
    <w:p w:rsidR="008530C1" w:rsidRPr="00FA66D4" w:rsidRDefault="008530C1" w:rsidP="008530C1">
      <w:pPr>
        <w:spacing w:after="0" w:line="240" w:lineRule="auto"/>
        <w:jc w:val="both"/>
        <w:rPr>
          <w:sz w:val="18"/>
          <w:szCs w:val="18"/>
        </w:rPr>
      </w:pPr>
      <w:r w:rsidRPr="00FA66D4">
        <w:rPr>
          <w:rStyle w:val="FootnoteReference"/>
          <w:sz w:val="18"/>
          <w:szCs w:val="18"/>
        </w:rPr>
        <w:footnoteRef/>
      </w:r>
      <w:r w:rsidRPr="00FA66D4">
        <w:rPr>
          <w:sz w:val="18"/>
          <w:szCs w:val="18"/>
        </w:rPr>
        <w:t xml:space="preserve"> Votes for the Caribbean Examinations Council; National Schools Dietary Services Ltd.; School Improvement Project - </w:t>
      </w:r>
      <w:proofErr w:type="spellStart"/>
      <w:r w:rsidRPr="00FA66D4">
        <w:rPr>
          <w:sz w:val="18"/>
          <w:szCs w:val="18"/>
        </w:rPr>
        <w:t>Laventille</w:t>
      </w:r>
      <w:proofErr w:type="spellEnd"/>
      <w:r w:rsidRPr="00FA66D4">
        <w:rPr>
          <w:sz w:val="18"/>
          <w:szCs w:val="18"/>
        </w:rPr>
        <w:t xml:space="preserve"> Community; District Services Division; Acquisition of Laptops and Tablets; and Infrastructure Upgrade to Victoria District Office were </w:t>
      </w:r>
      <w:r>
        <w:rPr>
          <w:sz w:val="18"/>
          <w:szCs w:val="18"/>
        </w:rPr>
        <w:t>disaggregated among education</w:t>
      </w:r>
      <w:r w:rsidRPr="00FA66D4">
        <w:rPr>
          <w:sz w:val="18"/>
          <w:szCs w:val="18"/>
        </w:rPr>
        <w:t xml:space="preserve"> levels. </w:t>
      </w:r>
    </w:p>
  </w:footnote>
  <w:footnote w:id="2">
    <w:p w:rsidR="008530C1" w:rsidRPr="00FA66D4" w:rsidRDefault="008530C1" w:rsidP="008530C1">
      <w:pPr>
        <w:pStyle w:val="FootnoteText"/>
        <w:rPr>
          <w:sz w:val="18"/>
          <w:szCs w:val="18"/>
        </w:rPr>
      </w:pPr>
      <w:r w:rsidRPr="00FA66D4">
        <w:rPr>
          <w:rStyle w:val="FootnoteReference"/>
          <w:sz w:val="18"/>
          <w:szCs w:val="18"/>
        </w:rPr>
        <w:footnoteRef/>
      </w:r>
      <w:r w:rsidRPr="00FA66D4">
        <w:rPr>
          <w:sz w:val="18"/>
          <w:szCs w:val="18"/>
        </w:rPr>
        <w:t xml:space="preserve"> Does not include expenditure not disaggregated by level</w:t>
      </w:r>
    </w:p>
  </w:footnote>
  <w:footnote w:id="3">
    <w:p w:rsidR="008530C1" w:rsidRDefault="008530C1" w:rsidP="00853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66D4">
        <w:rPr>
          <w:sz w:val="18"/>
          <w:szCs w:val="18"/>
        </w:rPr>
        <w:t>Does not include expenditure not disaggregated by level</w:t>
      </w:r>
    </w:p>
  </w:footnote>
  <w:footnote w:id="4">
    <w:p w:rsidR="008530C1" w:rsidRDefault="008530C1" w:rsidP="00853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66D4">
        <w:rPr>
          <w:sz w:val="18"/>
          <w:szCs w:val="18"/>
        </w:rPr>
        <w:t>Does not include expenditure not disaggregated by level</w:t>
      </w:r>
    </w:p>
  </w:footnote>
  <w:footnote w:id="5">
    <w:p w:rsidR="008530C1" w:rsidRDefault="008530C1" w:rsidP="00853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66D4">
        <w:rPr>
          <w:sz w:val="18"/>
          <w:szCs w:val="18"/>
        </w:rPr>
        <w:t>Does not include expenditure not disaggregated by level</w:t>
      </w:r>
    </w:p>
  </w:footnote>
  <w:footnote w:id="6">
    <w:p w:rsidR="008530C1" w:rsidRPr="00FA66D4" w:rsidRDefault="008530C1" w:rsidP="008530C1">
      <w:pPr>
        <w:pStyle w:val="FootnoteText"/>
        <w:rPr>
          <w:sz w:val="18"/>
          <w:szCs w:val="18"/>
        </w:rPr>
      </w:pPr>
      <w:r w:rsidRPr="00FA66D4">
        <w:rPr>
          <w:rStyle w:val="FootnoteReference"/>
          <w:sz w:val="18"/>
          <w:szCs w:val="18"/>
        </w:rPr>
        <w:footnoteRef/>
      </w:r>
      <w:r w:rsidRPr="00FA66D4">
        <w:rPr>
          <w:sz w:val="18"/>
          <w:szCs w:val="18"/>
        </w:rPr>
        <w:t xml:space="preserve"> Expenditure not disaggregated by level </w:t>
      </w:r>
      <w:r>
        <w:rPr>
          <w:sz w:val="18"/>
          <w:szCs w:val="18"/>
        </w:rPr>
        <w:t xml:space="preserve">includes expenditure that </w:t>
      </w:r>
      <w:proofErr w:type="gramStart"/>
      <w:r>
        <w:rPr>
          <w:sz w:val="18"/>
          <w:szCs w:val="18"/>
        </w:rPr>
        <w:t>could not easily be assigned</w:t>
      </w:r>
      <w:proofErr w:type="gramEnd"/>
      <w:r>
        <w:rPr>
          <w:sz w:val="18"/>
          <w:szCs w:val="18"/>
        </w:rPr>
        <w:t xml:space="preserve"> to an education level such as some expenditure on general administration. Expenditure not disaggregated by level </w:t>
      </w:r>
      <w:proofErr w:type="gramStart"/>
      <w:r w:rsidRPr="00FA66D4">
        <w:rPr>
          <w:sz w:val="18"/>
          <w:szCs w:val="18"/>
        </w:rPr>
        <w:t>w</w:t>
      </w:r>
      <w:r>
        <w:rPr>
          <w:sz w:val="18"/>
          <w:szCs w:val="18"/>
        </w:rPr>
        <w:t>as</w:t>
      </w:r>
      <w:r w:rsidRPr="00FA66D4">
        <w:rPr>
          <w:sz w:val="18"/>
          <w:szCs w:val="18"/>
        </w:rPr>
        <w:t xml:space="preserve"> shared</w:t>
      </w:r>
      <w:proofErr w:type="gramEnd"/>
      <w:r w:rsidRPr="00FA66D4">
        <w:rPr>
          <w:sz w:val="18"/>
          <w:szCs w:val="18"/>
        </w:rPr>
        <w:t xml:space="preserve"> among </w:t>
      </w:r>
      <w:r>
        <w:rPr>
          <w:sz w:val="18"/>
          <w:szCs w:val="18"/>
        </w:rPr>
        <w:t xml:space="preserve">education </w:t>
      </w:r>
      <w:r w:rsidRPr="00FA66D4">
        <w:rPr>
          <w:sz w:val="18"/>
          <w:szCs w:val="18"/>
        </w:rPr>
        <w:t xml:space="preserve">levels based on the proportion of total education expenditure </w:t>
      </w:r>
      <w:r>
        <w:rPr>
          <w:sz w:val="18"/>
          <w:szCs w:val="18"/>
        </w:rPr>
        <w:t xml:space="preserve">initially </w:t>
      </w:r>
      <w:r w:rsidRPr="00FA66D4">
        <w:rPr>
          <w:sz w:val="18"/>
          <w:szCs w:val="18"/>
        </w:rPr>
        <w:t>disaggregated to each level.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C1"/>
    <w:rsid w:val="003810CD"/>
    <w:rsid w:val="008530C1"/>
    <w:rsid w:val="00BF231F"/>
    <w:rsid w:val="00C765B8"/>
    <w:rsid w:val="00D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C669"/>
  <w15:chartTrackingRefBased/>
  <w15:docId w15:val="{FFE64CEF-BD8B-4E9D-B814-F60150F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C1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3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0C1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2022-09-20T17:31:00Z</dcterms:created>
  <dcterms:modified xsi:type="dcterms:W3CDTF">2022-09-20T17:41:00Z</dcterms:modified>
</cp:coreProperties>
</file>